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47" w:rsidRDefault="00EC6547" w:rsidP="00B7166A">
      <w:pPr>
        <w:rPr>
          <w:rFonts w:ascii="Bradley Hand ITC" w:hAnsi="Bradley Hand ITC"/>
          <w:b/>
          <w:bCs/>
          <w:sz w:val="36"/>
          <w:szCs w:val="36"/>
        </w:rPr>
      </w:pPr>
      <w:r w:rsidRPr="00EC6547">
        <w:rPr>
          <w:rFonts w:ascii="Bradley Hand ITC" w:hAnsi="Bradley Hand ITC"/>
          <w:b/>
          <w:bCs/>
          <w:sz w:val="36"/>
          <w:szCs w:val="36"/>
        </w:rPr>
        <w:t xml:space="preserve">”Sola </w:t>
      </w:r>
      <w:r w:rsidR="00B7166A">
        <w:rPr>
          <w:rFonts w:ascii="Bradley Hand ITC" w:hAnsi="Bradley Hand ITC"/>
          <w:b/>
          <w:bCs/>
          <w:sz w:val="36"/>
          <w:szCs w:val="36"/>
        </w:rPr>
        <w:t>Gratia</w:t>
      </w:r>
      <w:r w:rsidRPr="00EC6547">
        <w:rPr>
          <w:rFonts w:ascii="Bradley Hand ITC" w:hAnsi="Bradley Hand ITC"/>
          <w:b/>
          <w:bCs/>
          <w:sz w:val="36"/>
          <w:szCs w:val="36"/>
        </w:rPr>
        <w:t xml:space="preserve">” </w:t>
      </w:r>
    </w:p>
    <w:p w:rsidR="00EC6547" w:rsidRPr="00EC6547" w:rsidRDefault="00EC6547" w:rsidP="00B7166A">
      <w:pPr>
        <w:rPr>
          <w:b/>
          <w:bCs/>
          <w:sz w:val="28"/>
          <w:szCs w:val="28"/>
        </w:rPr>
      </w:pPr>
      <w:r w:rsidRPr="00EC6547">
        <w:rPr>
          <w:b/>
          <w:bCs/>
          <w:sz w:val="28"/>
          <w:szCs w:val="28"/>
        </w:rPr>
        <w:t xml:space="preserve">Inspiration til studiekredsaftener om Luthers </w:t>
      </w:r>
      <w:r w:rsidR="00B7166A">
        <w:rPr>
          <w:b/>
          <w:bCs/>
          <w:sz w:val="28"/>
          <w:szCs w:val="28"/>
        </w:rPr>
        <w:t>nådesbegreb</w:t>
      </w:r>
    </w:p>
    <w:p w:rsidR="00EC6547" w:rsidRDefault="00EC6547" w:rsidP="000C607D">
      <w:pPr>
        <w:rPr>
          <w:b/>
          <w:bCs/>
        </w:rPr>
      </w:pPr>
      <w:r>
        <w:rPr>
          <w:b/>
          <w:bCs/>
        </w:rPr>
        <w:t>Studiekredsmateriale til brug i menighederne med henblik på en markering af reform</w:t>
      </w:r>
      <w:r w:rsidR="000C607D">
        <w:rPr>
          <w:b/>
          <w:bCs/>
        </w:rPr>
        <w:t>a</w:t>
      </w:r>
      <w:r>
        <w:rPr>
          <w:b/>
          <w:bCs/>
        </w:rPr>
        <w:t>tionsjubilæet 2017</w:t>
      </w:r>
    </w:p>
    <w:p w:rsidR="00EC6547" w:rsidRDefault="00EC6547" w:rsidP="00EC6547">
      <w:pPr>
        <w:spacing w:after="0"/>
      </w:pPr>
      <w:r>
        <w:t>I 2017 er det 500 år siden, at Martin Luther slog sine 95 teser op på døren til Slotskirken i Wittenberg, hvilket i dag opfattes som startskuddet for reformationen. Dette jubilæum markeres i hele den protestantiske verden. Også den Evangeliske Lutherske Folkekirke i Danmark er med til at markere</w:t>
      </w:r>
    </w:p>
    <w:p w:rsidR="00EC6547" w:rsidRDefault="00EC6547" w:rsidP="00E808AC">
      <w:pPr>
        <w:spacing w:after="0"/>
        <w:rPr>
          <w:b/>
          <w:bCs/>
          <w:sz w:val="28"/>
          <w:szCs w:val="28"/>
        </w:rPr>
      </w:pPr>
      <w:r>
        <w:t>de</w:t>
      </w:r>
      <w:r w:rsidR="00E808AC">
        <w:t>nn</w:t>
      </w:r>
      <w:r>
        <w:t xml:space="preserve">e milepæl indenfor kristendommen, kirkens og Europas historie. </w:t>
      </w:r>
      <w:r>
        <w:rPr>
          <w:b/>
          <w:bCs/>
        </w:rPr>
        <w:t xml:space="preserve"> </w:t>
      </w:r>
      <w:r w:rsidRPr="00EC6547">
        <w:rPr>
          <w:b/>
          <w:bCs/>
          <w:sz w:val="28"/>
          <w:szCs w:val="28"/>
        </w:rPr>
        <w:t xml:space="preserve"> </w:t>
      </w:r>
    </w:p>
    <w:p w:rsidR="00EC6547" w:rsidRDefault="00497C84" w:rsidP="00497C84">
      <w:pPr>
        <w:spacing w:after="0"/>
      </w:pPr>
      <w:r>
        <w:t xml:space="preserve">I Helsingør Stift har stiftsudvalget vedrørende reformationsjubilæet blandt andet udarbejdet et </w:t>
      </w:r>
      <w:r w:rsidR="00EC6547">
        <w:t xml:space="preserve">treårigt studiekreds-forløb som optakt til selve jubilæet. </w:t>
      </w:r>
      <w:r w:rsidR="00B7166A">
        <w:t xml:space="preserve">Dette </w:t>
      </w:r>
      <w:r w:rsidR="00EC6547">
        <w:t>inspirationsmateriale</w:t>
      </w:r>
      <w:r w:rsidR="00B7166A">
        <w:t xml:space="preserve"> kan bruges </w:t>
      </w:r>
      <w:r w:rsidR="00EC6547">
        <w:t>i de enkelte sogne til forberedelse af reformationsgudstjenester samt til studiekredse.</w:t>
      </w:r>
    </w:p>
    <w:p w:rsidR="00EC6547" w:rsidRDefault="00EC6547" w:rsidP="00EC6547">
      <w:pPr>
        <w:spacing w:after="0"/>
      </w:pPr>
    </w:p>
    <w:p w:rsidR="00EC6547" w:rsidRDefault="00EC6547" w:rsidP="00EC6547">
      <w:pPr>
        <w:spacing w:after="0"/>
      </w:pPr>
      <w:r>
        <w:t>Vi har valgt følgende emner:</w:t>
      </w:r>
    </w:p>
    <w:p w:rsidR="00EC6547" w:rsidRDefault="00EC6547" w:rsidP="00B7166A">
      <w:pPr>
        <w:spacing w:after="0"/>
      </w:pPr>
      <w:r>
        <w:t xml:space="preserve">2015: Sola Scriptura  </w:t>
      </w:r>
    </w:p>
    <w:p w:rsidR="00EC6547" w:rsidRDefault="00EC6547" w:rsidP="00B7166A">
      <w:pPr>
        <w:spacing w:after="0"/>
      </w:pPr>
      <w:r>
        <w:t xml:space="preserve">2016: Sola Fide </w:t>
      </w:r>
    </w:p>
    <w:p w:rsidR="00EC6547" w:rsidRDefault="00EC6547" w:rsidP="00B7166A">
      <w:pPr>
        <w:spacing w:after="0"/>
      </w:pPr>
      <w:r>
        <w:t xml:space="preserve">2017: Sola Gratia </w:t>
      </w:r>
    </w:p>
    <w:p w:rsidR="00B7166A" w:rsidRDefault="006252EC" w:rsidP="006252EC">
      <w:pPr>
        <w:spacing w:after="0"/>
      </w:pPr>
      <w:r>
        <w:t>S</w:t>
      </w:r>
      <w:r w:rsidR="00B7166A">
        <w:t>amtlige materialer er tilgængelige på Helsingør Stifts hjemmeside</w:t>
      </w:r>
      <w:r>
        <w:t>.</w:t>
      </w:r>
      <w:r w:rsidR="00B7166A">
        <w:t xml:space="preserve"> </w:t>
      </w:r>
    </w:p>
    <w:p w:rsidR="00EC6547" w:rsidRDefault="00EC6547" w:rsidP="00EC6547">
      <w:pPr>
        <w:spacing w:after="0"/>
      </w:pPr>
    </w:p>
    <w:p w:rsidR="00EC6547" w:rsidRDefault="00B7166A" w:rsidP="00497C84">
      <w:pPr>
        <w:spacing w:after="0"/>
      </w:pPr>
      <w:r>
        <w:t xml:space="preserve">I </w:t>
      </w:r>
      <w:r w:rsidR="00525D91">
        <w:t>201</w:t>
      </w:r>
      <w:r>
        <w:t>7</w:t>
      </w:r>
      <w:r w:rsidR="00525D91">
        <w:t xml:space="preserve"> tilbyde</w:t>
      </w:r>
      <w:r>
        <w:t xml:space="preserve">r vi </w:t>
      </w:r>
      <w:r w:rsidR="00525D91">
        <w:t xml:space="preserve">to gudstjenesteliturgier samt materiale til studiekredsarrangementer, der med udgangspunkt i Luthers slagord:  ”Sola </w:t>
      </w:r>
      <w:r>
        <w:t>gratia</w:t>
      </w:r>
      <w:r w:rsidR="00525D91">
        <w:t xml:space="preserve">” kredser om reformationstidens og vores moderne </w:t>
      </w:r>
      <w:r>
        <w:t xml:space="preserve">opfattelse af nåden. </w:t>
      </w:r>
      <w:r w:rsidR="00525D91">
        <w:t xml:space="preserve">   </w:t>
      </w:r>
    </w:p>
    <w:p w:rsidR="00525D91" w:rsidRDefault="00525D91" w:rsidP="00B7166A">
      <w:pPr>
        <w:spacing w:after="0"/>
      </w:pPr>
      <w:r>
        <w:t>Materialet til studiekreds</w:t>
      </w:r>
      <w:r w:rsidR="00B7166A">
        <w:t>ene</w:t>
      </w:r>
      <w:r>
        <w:t xml:space="preserve"> består hver især af følgende: 1) en (eller flere) udvalgte Luthertekster, 2) en kort introduktion, der uddyber tekstens historiske baggrund samt opridser enkelte systematisk-teologiske spørgsmål, samt 3) supplerende litteraturforslag til en aktuel drøftelse.</w:t>
      </w:r>
    </w:p>
    <w:p w:rsidR="00525D91" w:rsidRDefault="00525D91" w:rsidP="00525D91">
      <w:pPr>
        <w:spacing w:after="0"/>
      </w:pPr>
    </w:p>
    <w:p w:rsidR="00525D91" w:rsidRPr="00735D1F" w:rsidRDefault="00525D91" w:rsidP="00B7166A">
      <w:pPr>
        <w:pStyle w:val="Listeafsnit"/>
        <w:numPr>
          <w:ilvl w:val="0"/>
          <w:numId w:val="1"/>
        </w:numPr>
        <w:spacing w:after="0"/>
        <w:rPr>
          <w:i/>
          <w:iCs/>
        </w:rPr>
      </w:pPr>
      <w:r w:rsidRPr="00735D1F">
        <w:rPr>
          <w:i/>
          <w:iCs/>
        </w:rPr>
        <w:t>Gudstjenesteliturgier for 201</w:t>
      </w:r>
      <w:r w:rsidR="00B7166A">
        <w:rPr>
          <w:i/>
          <w:iCs/>
        </w:rPr>
        <w:t>7</w:t>
      </w:r>
      <w:r w:rsidRPr="00735D1F">
        <w:rPr>
          <w:i/>
          <w:iCs/>
        </w:rPr>
        <w:t xml:space="preserve"> er udarbejdet af sognepræsterne Susanne Nor</w:t>
      </w:r>
      <w:r w:rsidR="00735D1F" w:rsidRPr="00735D1F">
        <w:rPr>
          <w:i/>
          <w:iCs/>
        </w:rPr>
        <w:t xml:space="preserve">sk Østrup Leiding </w:t>
      </w:r>
      <w:r w:rsidRPr="00735D1F">
        <w:rPr>
          <w:i/>
          <w:iCs/>
        </w:rPr>
        <w:t>og Peter Fagerlund.</w:t>
      </w:r>
    </w:p>
    <w:p w:rsidR="00EC6547" w:rsidRPr="00735D1F" w:rsidRDefault="00525D91" w:rsidP="00D11C47">
      <w:pPr>
        <w:pStyle w:val="Listeafsnit"/>
        <w:numPr>
          <w:ilvl w:val="0"/>
          <w:numId w:val="1"/>
        </w:numPr>
        <w:spacing w:after="0"/>
        <w:rPr>
          <w:i/>
          <w:iCs/>
        </w:rPr>
      </w:pPr>
      <w:r w:rsidRPr="00735D1F">
        <w:rPr>
          <w:i/>
          <w:iCs/>
        </w:rPr>
        <w:t>Studiekredsmater</w:t>
      </w:r>
      <w:r w:rsidR="00735D1F" w:rsidRPr="00735D1F">
        <w:rPr>
          <w:i/>
          <w:iCs/>
        </w:rPr>
        <w:t xml:space="preserve">ialet er </w:t>
      </w:r>
      <w:r w:rsidR="00D11C47">
        <w:rPr>
          <w:i/>
          <w:iCs/>
        </w:rPr>
        <w:t xml:space="preserve">udarbejdet </w:t>
      </w:r>
      <w:bookmarkStart w:id="0" w:name="_GoBack"/>
      <w:bookmarkEnd w:id="0"/>
      <w:r w:rsidR="00735D1F" w:rsidRPr="00735D1F">
        <w:rPr>
          <w:i/>
          <w:iCs/>
        </w:rPr>
        <w:t>af sognepræst</w:t>
      </w:r>
      <w:r w:rsidR="00D11C47">
        <w:rPr>
          <w:i/>
          <w:iCs/>
        </w:rPr>
        <w:t xml:space="preserve"> </w:t>
      </w:r>
      <w:r w:rsidR="00735D1F" w:rsidRPr="00735D1F">
        <w:rPr>
          <w:i/>
          <w:iCs/>
        </w:rPr>
        <w:t xml:space="preserve">Dorothea Glöckner </w:t>
      </w:r>
      <w:r w:rsidR="00B36DD6">
        <w:rPr>
          <w:i/>
          <w:iCs/>
        </w:rPr>
        <w:t xml:space="preserve">  </w:t>
      </w:r>
      <w:r w:rsidR="00EC6547" w:rsidRPr="00735D1F">
        <w:rPr>
          <w:i/>
          <w:iCs/>
        </w:rPr>
        <w:t xml:space="preserve">   </w:t>
      </w:r>
    </w:p>
    <w:p w:rsidR="00EC6547" w:rsidRDefault="00EC6547" w:rsidP="00EC6547">
      <w:pPr>
        <w:spacing w:after="0"/>
      </w:pPr>
    </w:p>
    <w:p w:rsidR="00EC6547" w:rsidRDefault="00EC6547"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FE5E04" w:rsidRDefault="00FE5E04" w:rsidP="00EC6547">
      <w:pPr>
        <w:spacing w:after="0"/>
      </w:pPr>
    </w:p>
    <w:p w:rsidR="00FE5E04" w:rsidRDefault="00FE5E04" w:rsidP="00EC6547">
      <w:pPr>
        <w:spacing w:after="0"/>
      </w:pPr>
    </w:p>
    <w:p w:rsidR="00497C84" w:rsidRDefault="00497C84" w:rsidP="00044066">
      <w:pPr>
        <w:jc w:val="center"/>
        <w:rPr>
          <w:b/>
          <w:bCs/>
        </w:rPr>
      </w:pPr>
    </w:p>
    <w:p w:rsidR="001E10EF" w:rsidRPr="00DF1E17" w:rsidRDefault="001E10EF" w:rsidP="001E10EF">
      <w:pPr>
        <w:rPr>
          <w:b/>
          <w:bCs/>
          <w:sz w:val="28"/>
          <w:szCs w:val="28"/>
        </w:rPr>
      </w:pPr>
      <w:r w:rsidRPr="00DF1E17">
        <w:rPr>
          <w:b/>
          <w:bCs/>
          <w:sz w:val="28"/>
          <w:szCs w:val="28"/>
        </w:rPr>
        <w:t>Hvad er nåde?</w:t>
      </w:r>
    </w:p>
    <w:p w:rsidR="002B047D" w:rsidRDefault="001E10EF" w:rsidP="00DF1E17">
      <w:pPr>
        <w:spacing w:after="0"/>
      </w:pPr>
      <w:r>
        <w:t>Biskop Tine Lindhardt besvarer dette spørgsmål i bibelselskabets brevkasse</w:t>
      </w:r>
      <w:r w:rsidR="00FE5E04">
        <w:t>.</w:t>
      </w:r>
      <w:r>
        <w:t xml:space="preserve"> </w:t>
      </w:r>
      <w:r w:rsidR="00BB237B">
        <w:t xml:space="preserve">Hun </w:t>
      </w:r>
      <w:r>
        <w:t>starter med at konkludere, at selve udtrykket ”nåde” i dag er gået af brug.</w:t>
      </w:r>
      <w:r w:rsidR="00BB237B">
        <w:t xml:space="preserve"> </w:t>
      </w:r>
      <w:r>
        <w:t>Ud over i kirken kender man det stort set kun fra sportsverdenen</w:t>
      </w:r>
      <w:r w:rsidR="00DF1E17">
        <w:t xml:space="preserve">. For ca. </w:t>
      </w:r>
      <w:r>
        <w:t xml:space="preserve">100 år siden brugte </w:t>
      </w:r>
      <w:r w:rsidR="00DF1E17">
        <w:t xml:space="preserve">man dog </w:t>
      </w:r>
      <w:r>
        <w:t xml:space="preserve">begrebet i nogle bredere sammenhænge. For eksempel kender vi tiltalen ”Deres Nåde” eller udtryk som </w:t>
      </w:r>
      <w:r w:rsidR="00DF1E17">
        <w:t>”</w:t>
      </w:r>
      <w:r w:rsidR="004B11DF">
        <w:t>nådsens brød”. ”Nåde” betyder ”</w:t>
      </w:r>
      <w:r>
        <w:t>at få uden at gøre sig fortjent til</w:t>
      </w:r>
      <w:r w:rsidR="004B11DF">
        <w:t>”</w:t>
      </w:r>
      <w:r>
        <w:t xml:space="preserve">. Dette er Tine Lindhardts </w:t>
      </w:r>
      <w:r w:rsidR="003A3A34">
        <w:t xml:space="preserve">rammende </w:t>
      </w:r>
      <w:r>
        <w:t>forklaring.</w:t>
      </w:r>
      <w:r w:rsidR="00BB237B">
        <w:t xml:space="preserve"> </w:t>
      </w:r>
      <w:r>
        <w:t xml:space="preserve">Samtidig udfolder hun, hvad det betyder, at vise nåde. Igen ud fra et negativt perspektiv.  </w:t>
      </w:r>
      <w:r w:rsidR="003A3A34">
        <w:t>H</w:t>
      </w:r>
      <w:r>
        <w:t>un beskriver</w:t>
      </w:r>
      <w:r w:rsidR="004B11DF">
        <w:t>,</w:t>
      </w:r>
      <w:r>
        <w:t xml:space="preserve"> hvad vi gør, når vi IKKE viser nåde</w:t>
      </w:r>
      <w:r w:rsidR="002B047D">
        <w:t xml:space="preserve">. </w:t>
      </w:r>
      <w:r>
        <w:t xml:space="preserve">Vi viser ingen mildhed og ingen overbærenhed. Vi tager ikke hensyn til, hvordan den andens liv har formet sig. Vi fastholder benhårde krav til hinanden. </w:t>
      </w:r>
      <w:r w:rsidR="00DF1E17">
        <w:t>N</w:t>
      </w:r>
      <w:r>
        <w:t>ådesløs</w:t>
      </w:r>
      <w:r w:rsidR="00DF1E17">
        <w:t>t</w:t>
      </w:r>
      <w:r>
        <w:t xml:space="preserve"> handler </w:t>
      </w:r>
      <w:r w:rsidR="003A3A34">
        <w:t xml:space="preserve">vi </w:t>
      </w:r>
      <w:r>
        <w:t>ud fra maksimen: noget for noget og ikke noget for ingenting.</w:t>
      </w:r>
      <w:r w:rsidR="00BB237B">
        <w:t xml:space="preserve"> </w:t>
      </w:r>
      <w:r w:rsidR="002B047D">
        <w:t xml:space="preserve">Men Gud er nådig. Han er storsindet og tilgiver. Han holder fast ved os, uden at vi har gjort os fortjent til det. Af nåde. </w:t>
      </w:r>
    </w:p>
    <w:p w:rsidR="002C6390" w:rsidRDefault="002B047D" w:rsidP="00DF1E17">
      <w:pPr>
        <w:spacing w:after="0"/>
      </w:pPr>
      <w:r>
        <w:t>Denne forklaring bunder dybt i Luthers teologi. Den tager udgangspunkt i Luthers opfattelse af, hvordan vi som mennesker kan blive retfærdiggjort over for Gud. Som bekendt var netop det Luthers store anfægtelse. Hvordan får jeg en nådig Gud?</w:t>
      </w:r>
      <w:r w:rsidR="002C6390">
        <w:t xml:space="preserve"> </w:t>
      </w:r>
      <w:r>
        <w:t xml:space="preserve">Anfægtelsen varede ved, indtil det gik op for ham, at Gud ER nådig. Vi kan ikke gøre os fortjent til hans nåde. Men vi kan modtage </w:t>
      </w:r>
      <w:r w:rsidR="00BB237B">
        <w:t xml:space="preserve">den </w:t>
      </w:r>
      <w:r>
        <w:t>i kraft af troen.</w:t>
      </w:r>
      <w:r w:rsidR="00FE5E04">
        <w:t xml:space="preserve"> </w:t>
      </w:r>
      <w:r>
        <w:t>Luther</w:t>
      </w:r>
      <w:r w:rsidR="002C6390">
        <w:t>s</w:t>
      </w:r>
      <w:r>
        <w:t xml:space="preserve"> </w:t>
      </w:r>
      <w:r w:rsidR="002C6390">
        <w:t xml:space="preserve">forståelse af nåden bygger dermed på hans opfattelse af Gud som en nådig Gud. Af nåde henvender Gud sig til os mennesker. Gud åbner vejen til sandheden og livet. Luther pointerer, at Gud netop henvender sig til os gennem hans søn Jesus Kristus. Luthers opfattelse af nåden er således kristologisk begrundet. De to mottoer: ”sola gratia” og ”Kristus solus” fortolker gensidig hinanden. </w:t>
      </w:r>
    </w:p>
    <w:p w:rsidR="00FE5E04" w:rsidRDefault="00FE5E04" w:rsidP="00DF1E17">
      <w:pPr>
        <w:spacing w:after="0"/>
      </w:pPr>
    </w:p>
    <w:p w:rsidR="005A584E" w:rsidRDefault="002C6390" w:rsidP="00DF1E17">
      <w:pPr>
        <w:spacing w:after="0"/>
      </w:pPr>
      <w:r>
        <w:t xml:space="preserve">Vi mennesker får del i Guds nåde </w:t>
      </w:r>
      <w:r w:rsidR="003A3A34">
        <w:t xml:space="preserve">gennem hans </w:t>
      </w:r>
      <w:r>
        <w:t xml:space="preserve">løfte om tilgivelse. </w:t>
      </w:r>
      <w:r w:rsidR="00BB237B">
        <w:t xml:space="preserve">Og vi </w:t>
      </w:r>
      <w:r w:rsidR="003A3A34">
        <w:t xml:space="preserve">bliver modtagelige for dette tilsagn, </w:t>
      </w:r>
      <w:r>
        <w:t xml:space="preserve">når vores hjerter åbnes for hans ord. For Kristi skyld tilregner Gud os ikke vore synder, men han tilregner os </w:t>
      </w:r>
      <w:r w:rsidR="00BB237B">
        <w:t>K</w:t>
      </w:r>
      <w:r>
        <w:t>risti retfærdighed</w:t>
      </w:r>
      <w:r w:rsidR="005A584E">
        <w:t xml:space="preserve"> som vores egen. Således bunder Guds barmhjertighed i hans nåde. </w:t>
      </w:r>
    </w:p>
    <w:p w:rsidR="00E57D06" w:rsidRDefault="005A584E" w:rsidP="00DF1E17">
      <w:pPr>
        <w:spacing w:after="0"/>
      </w:pPr>
      <w:r>
        <w:lastRenderedPageBreak/>
        <w:t xml:space="preserve">Vi er ikke fortabte. Hverken i tid eller evighed. </w:t>
      </w:r>
      <w:r w:rsidR="00BB237B">
        <w:t>Dette b</w:t>
      </w:r>
      <w:r>
        <w:t>udskab</w:t>
      </w:r>
      <w:r w:rsidR="00BB237B">
        <w:t xml:space="preserve"> </w:t>
      </w:r>
      <w:r w:rsidR="003A3A34">
        <w:t xml:space="preserve">svarer til selve </w:t>
      </w:r>
      <w:r>
        <w:t>evangeli</w:t>
      </w:r>
      <w:r w:rsidR="00BB237B">
        <w:t>et</w:t>
      </w:r>
      <w:r>
        <w:t>, dvs. et budskab, der kan gøre o</w:t>
      </w:r>
      <w:r w:rsidR="00DF1E17">
        <w:t xml:space="preserve">s glade. </w:t>
      </w:r>
      <w:r w:rsidR="00BB237B">
        <w:t xml:space="preserve">I sidste konsekvens er </w:t>
      </w:r>
      <w:r>
        <w:t xml:space="preserve">Guds nåde udgangspunktet for al glæde i livet. I Guds nåde bunder den </w:t>
      </w:r>
      <w:r w:rsidR="00BB237B">
        <w:t>fuldkomne</w:t>
      </w:r>
      <w:r>
        <w:t xml:space="preserve"> glæde. Ikke alle de andre glæder, som vi også kan blive grebet af – og som Luther betegner som onde glæder, som f. eks. den skadesfryd, der kan overmande os, når det går andre ilde.</w:t>
      </w:r>
      <w:r w:rsidR="00DF1E17">
        <w:t xml:space="preserve"> </w:t>
      </w:r>
      <w:r w:rsidR="00BB237B">
        <w:t>Guds nåde sætter vores liv i et perspektiv, der fastholder evigheden som den afgørende horisont.</w:t>
      </w:r>
      <w:r w:rsidR="00DF1E17">
        <w:t xml:space="preserve"> </w:t>
      </w:r>
      <w:r w:rsidR="00E57D06">
        <w:t xml:space="preserve">Som bekendt opfatter </w:t>
      </w:r>
      <w:r w:rsidR="00BB237B">
        <w:t xml:space="preserve">Luther </w:t>
      </w:r>
      <w:r w:rsidR="00E57D06">
        <w:t>m</w:t>
      </w:r>
      <w:r w:rsidR="00BB237B">
        <w:t>ennesket som både retfærdiggjort og som synder – simul iustus et pe</w:t>
      </w:r>
      <w:r w:rsidR="00E57D06">
        <w:t>cc</w:t>
      </w:r>
      <w:r w:rsidR="00BB237B">
        <w:t>at</w:t>
      </w:r>
      <w:r w:rsidR="00E57D06">
        <w:t>o</w:t>
      </w:r>
      <w:r w:rsidR="00BB237B">
        <w:t>r</w:t>
      </w:r>
      <w:r w:rsidR="00E57D06">
        <w:t>.</w:t>
      </w:r>
      <w:r w:rsidR="00DF1E17">
        <w:t xml:space="preserve"> </w:t>
      </w:r>
      <w:r w:rsidR="00E57D06">
        <w:t>Samtidig fastholder han dog, at</w:t>
      </w:r>
      <w:r w:rsidR="00BB237B">
        <w:t xml:space="preserve"> vi kan leve hen</w:t>
      </w:r>
      <w:r w:rsidR="003A3A34">
        <w:t xml:space="preserve"> </w:t>
      </w:r>
      <w:r w:rsidR="00BB237B">
        <w:t xml:space="preserve">imod </w:t>
      </w:r>
      <w:r w:rsidR="00E57D06">
        <w:t xml:space="preserve">evigheden </w:t>
      </w:r>
      <w:r w:rsidR="00BB237B">
        <w:t xml:space="preserve">som nogen, der </w:t>
      </w:r>
      <w:r w:rsidR="00E57D06">
        <w:t xml:space="preserve">takket være Guds nåde kan lægge tilværelsen som synder bag sig. For Guds tilgivelse er fuldkommen. Ligesom hans nåde. Og derfor skal også vores glæde være fuldkommen. </w:t>
      </w:r>
    </w:p>
    <w:p w:rsidR="003A3A34" w:rsidRDefault="003A3A34" w:rsidP="00DF1E17">
      <w:pPr>
        <w:spacing w:after="0"/>
      </w:pPr>
    </w:p>
    <w:p w:rsidR="00DF1E17" w:rsidRPr="00DF1E17" w:rsidRDefault="003A3A34" w:rsidP="00DF1E17">
      <w:pPr>
        <w:spacing w:after="0"/>
        <w:rPr>
          <w:sz w:val="20"/>
          <w:szCs w:val="20"/>
        </w:rPr>
      </w:pPr>
      <w:r>
        <w:t>Det</w:t>
      </w:r>
      <w:r w:rsidR="00E57D06">
        <w:t xml:space="preserve"> tredelte studieforløb om ”Sola gratia - Luthers og vores opfattelse af nåden” er struktureret på følgende vis: </w:t>
      </w:r>
      <w:r w:rsidR="00DF1E17">
        <w:t xml:space="preserve"> </w:t>
      </w:r>
      <w:r w:rsidR="00E57D06">
        <w:t>Teksterne til det første møde kredser om sammenhængen mellem Luthers retfærdiggørelseslære og hans opfattelse af nåden</w:t>
      </w:r>
      <w:r>
        <w:t>. V</w:t>
      </w:r>
      <w:r w:rsidR="00E57D06">
        <w:t>ed det andet møde rettes der fokus på Luthers opfattelse af, hvordan vi kan modtage Guds nåde gennem sakramenter</w:t>
      </w:r>
      <w:r>
        <w:t>. D</w:t>
      </w:r>
      <w:r w:rsidR="00E57D06">
        <w:t>et tredje møde lægger op til en drøftelse af nådens eskatologiske perspektiv.</w:t>
      </w:r>
      <w:r w:rsidR="00DF1E17">
        <w:t xml:space="preserve"> </w:t>
      </w:r>
      <w:r>
        <w:t>Hele forløbet er dermed tænkt som et forsøg på, at tolke Luthers opfattelse af begreber som nåde, tilgivelse, barmhjertighed … i relation til vores moderne livserfaringer.  Også i dag kender vi til angsten for at være fortabt – og også i dag kender vi til længslen efter den sande glæde, der kan blive ved med at gøre vore hjerter varme.</w:t>
      </w:r>
      <w:r w:rsidR="00DF1E17">
        <w:tab/>
      </w:r>
      <w:r w:rsidR="00DF1E17">
        <w:tab/>
      </w:r>
      <w:r w:rsidR="00DF1E17">
        <w:tab/>
      </w:r>
      <w:r w:rsidR="00DF1E17">
        <w:tab/>
      </w:r>
      <w:r w:rsidR="00DF1E17">
        <w:tab/>
      </w:r>
      <w:r w:rsidR="00DF1E17">
        <w:tab/>
      </w:r>
      <w:r w:rsidR="00DF1E17">
        <w:tab/>
      </w:r>
      <w:r w:rsidR="00DF1E17">
        <w:tab/>
      </w:r>
      <w:r w:rsidR="00DF1E17">
        <w:tab/>
      </w:r>
      <w:r w:rsidR="00DF1E17" w:rsidRPr="00DF1E17">
        <w:rPr>
          <w:sz w:val="20"/>
          <w:szCs w:val="20"/>
        </w:rPr>
        <w:t xml:space="preserve">Dorothea Glöckner </w:t>
      </w:r>
    </w:p>
    <w:p w:rsidR="00FE5E04" w:rsidRDefault="00FE5E04" w:rsidP="00FE5E04">
      <w:pPr>
        <w:spacing w:after="0"/>
        <w:rPr>
          <w:sz w:val="20"/>
          <w:szCs w:val="20"/>
        </w:rPr>
      </w:pPr>
      <w:r w:rsidRPr="00FE5E04">
        <w:rPr>
          <w:sz w:val="20"/>
          <w:szCs w:val="20"/>
        </w:rPr>
        <w:t xml:space="preserve">litteratur:  </w:t>
      </w:r>
    </w:p>
    <w:p w:rsidR="00FE5E04" w:rsidRDefault="00FE5E04" w:rsidP="00FE5E04">
      <w:pPr>
        <w:spacing w:after="0"/>
        <w:rPr>
          <w:sz w:val="20"/>
          <w:szCs w:val="20"/>
        </w:rPr>
      </w:pPr>
      <w:r w:rsidRPr="00FE5E04">
        <w:rPr>
          <w:sz w:val="20"/>
          <w:szCs w:val="20"/>
        </w:rPr>
        <w:t>Tine Lindhardt</w:t>
      </w:r>
      <w:r>
        <w:rPr>
          <w:sz w:val="20"/>
          <w:szCs w:val="20"/>
        </w:rPr>
        <w:t>s</w:t>
      </w:r>
      <w:r w:rsidRPr="00FE5E04">
        <w:rPr>
          <w:sz w:val="20"/>
          <w:szCs w:val="20"/>
        </w:rPr>
        <w:t xml:space="preserve"> svar på spørgsmålet: ”Hvad er nåde?” (</w:t>
      </w:r>
      <w:hyperlink r:id="rId7" w:history="1">
        <w:r w:rsidRPr="00FE5E04">
          <w:rPr>
            <w:rStyle w:val="Hyperlink"/>
            <w:sz w:val="20"/>
            <w:szCs w:val="20"/>
          </w:rPr>
          <w:t>www.bibelselskabet.dk/spoerg_om_bibelen/naade</w:t>
        </w:r>
      </w:hyperlink>
      <w:r w:rsidRPr="00FE5E04">
        <w:rPr>
          <w:sz w:val="20"/>
          <w:szCs w:val="20"/>
        </w:rPr>
        <w:t xml:space="preserve">) </w:t>
      </w:r>
    </w:p>
    <w:p w:rsidR="00FE5E04" w:rsidRPr="00FE5E04" w:rsidRDefault="00FE5E04" w:rsidP="00FE5E04">
      <w:pPr>
        <w:spacing w:after="0"/>
        <w:rPr>
          <w:sz w:val="20"/>
          <w:szCs w:val="20"/>
        </w:rPr>
      </w:pPr>
      <w:r w:rsidRPr="00FE5E04">
        <w:rPr>
          <w:sz w:val="20"/>
          <w:szCs w:val="20"/>
        </w:rPr>
        <w:t xml:space="preserve">artikel: Gnade IV. (Reformation und Gegenreformation) i:  TRE XIII (1984), s. 490ff. </w:t>
      </w:r>
    </w:p>
    <w:p w:rsidR="00497C84" w:rsidRDefault="00044066" w:rsidP="008577E4">
      <w:pPr>
        <w:jc w:val="center"/>
        <w:rPr>
          <w:b/>
          <w:bCs/>
          <w:sz w:val="28"/>
          <w:szCs w:val="28"/>
        </w:rPr>
      </w:pPr>
      <w:r w:rsidRPr="008577E4">
        <w:rPr>
          <w:b/>
          <w:bCs/>
          <w:sz w:val="28"/>
          <w:szCs w:val="28"/>
        </w:rPr>
        <w:t xml:space="preserve">Første møde: </w:t>
      </w:r>
      <w:r w:rsidRPr="008577E4">
        <w:rPr>
          <w:b/>
          <w:bCs/>
          <w:sz w:val="28"/>
          <w:szCs w:val="28"/>
        </w:rPr>
        <w:tab/>
        <w:t>Guds nåde gør os retfærdige</w:t>
      </w:r>
    </w:p>
    <w:p w:rsidR="008577E4" w:rsidRPr="008577E4" w:rsidRDefault="008577E4" w:rsidP="008577E4">
      <w:pPr>
        <w:jc w:val="center"/>
        <w:rPr>
          <w:b/>
          <w:bCs/>
          <w:sz w:val="28"/>
          <w:szCs w:val="28"/>
        </w:rPr>
      </w:pPr>
    </w:p>
    <w:p w:rsidR="00044066" w:rsidRPr="008577E4" w:rsidRDefault="003A3A34" w:rsidP="006A7EC6">
      <w:pPr>
        <w:rPr>
          <w:b/>
          <w:bCs/>
        </w:rPr>
      </w:pPr>
      <w:r w:rsidRPr="008577E4">
        <w:rPr>
          <w:b/>
          <w:bCs/>
        </w:rPr>
        <w:t>1</w:t>
      </w:r>
      <w:r w:rsidR="00044066" w:rsidRPr="008577E4">
        <w:rPr>
          <w:b/>
          <w:bCs/>
        </w:rPr>
        <w:t xml:space="preserve">. 1) </w:t>
      </w:r>
      <w:r w:rsidR="00044066" w:rsidRPr="008577E4">
        <w:rPr>
          <w:b/>
          <w:bCs/>
        </w:rPr>
        <w:tab/>
        <w:t>Introduktion til Heidelberg–</w:t>
      </w:r>
      <w:r w:rsidR="006A7EC6" w:rsidRPr="008577E4">
        <w:rPr>
          <w:b/>
          <w:bCs/>
        </w:rPr>
        <w:t>Sætninger</w:t>
      </w:r>
      <w:r w:rsidR="00044066" w:rsidRPr="008577E4">
        <w:rPr>
          <w:b/>
          <w:bCs/>
        </w:rPr>
        <w:t xml:space="preserve"> 1518 </w:t>
      </w:r>
    </w:p>
    <w:p w:rsidR="00044066" w:rsidRPr="008577E4" w:rsidRDefault="00044066" w:rsidP="006A7EC6">
      <w:pPr>
        <w:rPr>
          <w:b/>
          <w:bCs/>
        </w:rPr>
      </w:pPr>
      <w:r w:rsidRPr="008577E4">
        <w:rPr>
          <w:b/>
          <w:bCs/>
        </w:rPr>
        <w:t xml:space="preserve">1. 2)   </w:t>
      </w:r>
      <w:r w:rsidRPr="008577E4">
        <w:rPr>
          <w:b/>
          <w:bCs/>
        </w:rPr>
        <w:tab/>
        <w:t>Martin Luther: Heidelberg-</w:t>
      </w:r>
      <w:r w:rsidR="006A7EC6" w:rsidRPr="008577E4">
        <w:rPr>
          <w:b/>
          <w:bCs/>
        </w:rPr>
        <w:t xml:space="preserve">sætninger </w:t>
      </w:r>
      <w:r w:rsidRPr="008577E4">
        <w:rPr>
          <w:b/>
          <w:bCs/>
        </w:rPr>
        <w:t xml:space="preserve">(udvalgte teser) </w:t>
      </w:r>
    </w:p>
    <w:p w:rsidR="00044066" w:rsidRPr="008577E4" w:rsidRDefault="00044066" w:rsidP="008577E4">
      <w:pPr>
        <w:rPr>
          <w:b/>
          <w:bCs/>
        </w:rPr>
      </w:pPr>
      <w:r w:rsidRPr="008577E4">
        <w:rPr>
          <w:b/>
          <w:bCs/>
        </w:rPr>
        <w:t xml:space="preserve">1. 3) </w:t>
      </w:r>
      <w:r w:rsidRPr="008577E4">
        <w:rPr>
          <w:b/>
          <w:bCs/>
        </w:rPr>
        <w:tab/>
      </w:r>
      <w:r w:rsidR="008577E4">
        <w:rPr>
          <w:b/>
          <w:bCs/>
        </w:rPr>
        <w:t>F</w:t>
      </w:r>
      <w:r w:rsidR="00983795" w:rsidRPr="008577E4">
        <w:rPr>
          <w:b/>
          <w:bCs/>
        </w:rPr>
        <w:t xml:space="preserve">orslag til </w:t>
      </w:r>
      <w:r w:rsidRPr="008577E4">
        <w:rPr>
          <w:b/>
          <w:bCs/>
        </w:rPr>
        <w:t xml:space="preserve">supplerende </w:t>
      </w:r>
      <w:r w:rsidR="006A7EC6" w:rsidRPr="008577E4">
        <w:rPr>
          <w:b/>
          <w:bCs/>
        </w:rPr>
        <w:t xml:space="preserve">materiale </w:t>
      </w:r>
      <w:r w:rsidRPr="008577E4">
        <w:rPr>
          <w:b/>
          <w:bCs/>
        </w:rPr>
        <w:t xml:space="preserve"> </w:t>
      </w:r>
    </w:p>
    <w:p w:rsidR="00044066" w:rsidRDefault="00044066" w:rsidP="00044066"/>
    <w:p w:rsidR="00D21D82" w:rsidRDefault="00DF1E17" w:rsidP="00F56260">
      <w:pPr>
        <w:rPr>
          <w:b/>
          <w:bCs/>
        </w:rPr>
      </w:pPr>
      <w:r w:rsidRPr="00F56260">
        <w:rPr>
          <w:b/>
          <w:bCs/>
        </w:rPr>
        <w:t xml:space="preserve">1. 1) </w:t>
      </w:r>
      <w:r w:rsidR="00F56260" w:rsidRPr="00F56260">
        <w:rPr>
          <w:b/>
          <w:bCs/>
        </w:rPr>
        <w:tab/>
        <w:t>Introduktion til Heidelberg–Teserne 1518</w:t>
      </w:r>
    </w:p>
    <w:p w:rsidR="00F56260" w:rsidRPr="00983795" w:rsidRDefault="00F56260" w:rsidP="00983795">
      <w:pPr>
        <w:spacing w:after="0"/>
      </w:pPr>
      <w:r w:rsidRPr="00983795">
        <w:t>En kort introduktion til Martin Luthers Heidelberg-Sætninger fra 1518 findes under:</w:t>
      </w:r>
    </w:p>
    <w:p w:rsidR="00983795" w:rsidRDefault="00D11C47" w:rsidP="00983795">
      <w:pPr>
        <w:spacing w:after="0"/>
      </w:pPr>
      <w:hyperlink w:history="1">
        <w:r w:rsidR="00915ED1" w:rsidRPr="00161BC5">
          <w:rPr>
            <w:rStyle w:val="Hyperlink"/>
            <w:b/>
            <w:bCs/>
          </w:rPr>
          <w:t>www.luthertekster på nettet</w:t>
        </w:r>
      </w:hyperlink>
      <w:r w:rsidR="00915ED1">
        <w:rPr>
          <w:b/>
          <w:bCs/>
        </w:rPr>
        <w:t xml:space="preserve">. </w:t>
      </w:r>
      <w:r w:rsidR="00915ED1" w:rsidRPr="00983795">
        <w:t>Ved at vælge</w:t>
      </w:r>
      <w:r w:rsidR="00915ED1">
        <w:rPr>
          <w:b/>
          <w:bCs/>
        </w:rPr>
        <w:t xml:space="preserve">: </w:t>
      </w:r>
      <w:r w:rsidR="00915ED1" w:rsidRPr="00915ED1">
        <w:rPr>
          <w:b/>
          <w:bCs/>
          <w:color w:val="2E74B5" w:themeColor="accent1" w:themeShade="BF"/>
        </w:rPr>
        <w:t xml:space="preserve">Danske tekster kronologisk 1517-21 </w:t>
      </w:r>
      <w:r w:rsidR="00915ED1" w:rsidRPr="00983795">
        <w:t>finder man linket</w:t>
      </w:r>
      <w:r w:rsidR="00983795">
        <w:t>:</w:t>
      </w:r>
    </w:p>
    <w:p w:rsidR="00915ED1" w:rsidRDefault="00915ED1" w:rsidP="00983795">
      <w:pPr>
        <w:spacing w:after="0"/>
        <w:rPr>
          <w:b/>
          <w:bCs/>
        </w:rPr>
      </w:pPr>
      <w:r w:rsidRPr="00915ED1">
        <w:rPr>
          <w:b/>
          <w:bCs/>
          <w:color w:val="0070C0"/>
        </w:rPr>
        <w:lastRenderedPageBreak/>
        <w:t>1518 Heidelberg-teserne</w:t>
      </w:r>
      <w:r>
        <w:rPr>
          <w:b/>
          <w:bCs/>
        </w:rPr>
        <w:t xml:space="preserve">.  </w:t>
      </w:r>
    </w:p>
    <w:p w:rsidR="00915ED1" w:rsidRPr="00983795" w:rsidRDefault="00915ED1" w:rsidP="00983795">
      <w:pPr>
        <w:spacing w:after="0"/>
      </w:pPr>
      <w:r w:rsidRPr="00983795">
        <w:t>Siden indledes med en forkortet gengivelse af en tekst fra Tidehverv 1927, s. 50-56.</w:t>
      </w:r>
    </w:p>
    <w:p w:rsidR="00915ED1" w:rsidRPr="00983795" w:rsidRDefault="00915ED1" w:rsidP="00983795">
      <w:pPr>
        <w:spacing w:after="0"/>
      </w:pPr>
      <w:r w:rsidRPr="00983795">
        <w:t xml:space="preserve">Her finder man en kort redegørelse for de historiske rammer for Luthers Heidelberg-sætninger. Disse sætninger giver uddybende forklaringer til Luthers nye opfattelse af retfærdiggørelsen. Luther fremsatte dem i en forsamling af Augustinere i april 1518. Det var kun få måneder efter, at han havde slået sine tester op på døren til Slotskirken i Wittenberg. </w:t>
      </w:r>
    </w:p>
    <w:p w:rsidR="006A7EC6" w:rsidRDefault="00915ED1" w:rsidP="00983795">
      <w:pPr>
        <w:spacing w:after="0"/>
      </w:pPr>
      <w:r w:rsidRPr="00983795">
        <w:t>Indl</w:t>
      </w:r>
      <w:r w:rsidR="006A7EC6" w:rsidRPr="00983795">
        <w:t>e</w:t>
      </w:r>
      <w:r w:rsidRPr="00983795">
        <w:t>dnin</w:t>
      </w:r>
      <w:r w:rsidR="006A7EC6" w:rsidRPr="00983795">
        <w:t>g</w:t>
      </w:r>
      <w:r w:rsidRPr="00983795">
        <w:t>steksten suppleres af et brev, som Luther skrev til Spalatin</w:t>
      </w:r>
      <w:r w:rsidR="006A7EC6" w:rsidRPr="00983795">
        <w:t xml:space="preserve"> den 18. maj 1518</w:t>
      </w:r>
      <w:r w:rsidRPr="00983795">
        <w:t xml:space="preserve">. </w:t>
      </w:r>
      <w:r w:rsidR="006A7EC6" w:rsidRPr="00983795">
        <w:t>B</w:t>
      </w:r>
      <w:r w:rsidRPr="00983795">
        <w:t xml:space="preserve">revet giver et fint indtryk af Luthers personlighed. </w:t>
      </w:r>
      <w:r w:rsidR="006A7EC6" w:rsidRPr="00983795">
        <w:t xml:space="preserve">Her </w:t>
      </w:r>
      <w:r w:rsidRPr="00983795">
        <w:t xml:space="preserve">beskriver han både, hvordan han </w:t>
      </w:r>
      <w:r w:rsidR="006A7EC6" w:rsidRPr="00983795">
        <w:t xml:space="preserve">kom hjem fra Heidelberg til Wittenberg samt hvordan han havde det, mens han skulle disputerede med de ”Herrer Doktores”. </w:t>
      </w:r>
      <w:r w:rsidRPr="00983795">
        <w:t xml:space="preserve"> </w:t>
      </w:r>
    </w:p>
    <w:p w:rsidR="004B11DF" w:rsidRPr="00983795" w:rsidRDefault="004B11DF" w:rsidP="00983795">
      <w:pPr>
        <w:spacing w:after="0"/>
      </w:pPr>
      <w:r>
        <w:t xml:space="preserve">Derudover har Thomas Reinholdt Rasmussen skrevet gennemgang af Heidelberg-teserne, ”Disputatio Heidelbergae habita” i Dansk Teologisk Tidsskrift årg. 2001, nr. 2, som er genoptrykt i sammes ”Den korsfæstede Gud. Læsninger i Martin Luthersteologi, eget forlag, 2014. </w:t>
      </w:r>
    </w:p>
    <w:p w:rsidR="006A7EC6" w:rsidRPr="00983795" w:rsidRDefault="006A7EC6" w:rsidP="006A7EC6">
      <w:pPr>
        <w:spacing w:after="0"/>
      </w:pPr>
    </w:p>
    <w:p w:rsidR="006A7EC6" w:rsidRDefault="006A7EC6" w:rsidP="006A7EC6">
      <w:pPr>
        <w:spacing w:after="0"/>
        <w:rPr>
          <w:b/>
          <w:bCs/>
        </w:rPr>
      </w:pPr>
    </w:p>
    <w:p w:rsidR="006A7EC6" w:rsidRDefault="006A7EC6" w:rsidP="006A7EC6">
      <w:pPr>
        <w:spacing w:after="0"/>
        <w:rPr>
          <w:b/>
          <w:bCs/>
        </w:rPr>
      </w:pPr>
      <w:r>
        <w:rPr>
          <w:b/>
          <w:bCs/>
        </w:rPr>
        <w:t xml:space="preserve">1. 2) </w:t>
      </w:r>
      <w:r>
        <w:rPr>
          <w:b/>
          <w:bCs/>
        </w:rPr>
        <w:tab/>
        <w:t>Martin Luther: Heidelberg-Sætninger</w:t>
      </w:r>
    </w:p>
    <w:p w:rsidR="006A7EC6" w:rsidRDefault="006A7EC6" w:rsidP="006A7EC6">
      <w:pPr>
        <w:spacing w:after="0"/>
        <w:rPr>
          <w:b/>
          <w:bCs/>
        </w:rPr>
      </w:pPr>
    </w:p>
    <w:p w:rsidR="006A7EC6" w:rsidRPr="00983795" w:rsidRDefault="006A7EC6" w:rsidP="00983795">
      <w:pPr>
        <w:spacing w:after="0"/>
      </w:pPr>
      <w:r w:rsidRPr="00983795">
        <w:t>Luthers Heidelberg-Sætninger fra 1518 består af i alt 27 teser med uddybende forklaringer.</w:t>
      </w:r>
    </w:p>
    <w:p w:rsidR="006A7EC6" w:rsidRDefault="006A7EC6" w:rsidP="00983795">
      <w:pPr>
        <w:spacing w:after="0"/>
        <w:rPr>
          <w:b/>
          <w:bCs/>
          <w:color w:val="0070C0"/>
        </w:rPr>
      </w:pPr>
      <w:r w:rsidRPr="00983795">
        <w:t>Hele teksten findes i dansk oversættelse på:</w:t>
      </w:r>
      <w:r>
        <w:rPr>
          <w:b/>
          <w:bCs/>
        </w:rPr>
        <w:t xml:space="preserve"> </w:t>
      </w:r>
      <w:hyperlink r:id="rId8" w:history="1">
        <w:r w:rsidRPr="006A7EC6">
          <w:rPr>
            <w:rStyle w:val="Hyperlink"/>
            <w:b/>
            <w:bCs/>
            <w:color w:val="0070C0"/>
          </w:rPr>
          <w:t>www.luthertekster</w:t>
        </w:r>
      </w:hyperlink>
      <w:r w:rsidRPr="006A7EC6">
        <w:rPr>
          <w:b/>
          <w:bCs/>
          <w:color w:val="0070C0"/>
          <w:u w:val="single"/>
        </w:rPr>
        <w:t xml:space="preserve"> på nettet</w:t>
      </w:r>
      <w:r w:rsidRPr="00983795">
        <w:t>. Ved at vælge:</w:t>
      </w:r>
      <w:r>
        <w:rPr>
          <w:b/>
          <w:bCs/>
        </w:rPr>
        <w:t xml:space="preserve"> </w:t>
      </w:r>
      <w:r>
        <w:rPr>
          <w:b/>
          <w:bCs/>
          <w:color w:val="0070C0"/>
        </w:rPr>
        <w:t xml:space="preserve">Danske tekster kronologisk 1517-21 </w:t>
      </w:r>
      <w:r w:rsidRPr="00983795">
        <w:t>finder man linket</w:t>
      </w:r>
      <w:r w:rsidR="00983795">
        <w:t>:</w:t>
      </w:r>
      <w:r>
        <w:rPr>
          <w:b/>
          <w:bCs/>
        </w:rPr>
        <w:t xml:space="preserve"> </w:t>
      </w:r>
      <w:r w:rsidRPr="006A7EC6">
        <w:rPr>
          <w:b/>
          <w:bCs/>
          <w:color w:val="0070C0"/>
        </w:rPr>
        <w:t xml:space="preserve">1518 </w:t>
      </w:r>
      <w:r>
        <w:rPr>
          <w:b/>
          <w:bCs/>
          <w:color w:val="0070C0"/>
        </w:rPr>
        <w:t>H</w:t>
      </w:r>
      <w:r w:rsidRPr="006A7EC6">
        <w:rPr>
          <w:b/>
          <w:bCs/>
          <w:color w:val="0070C0"/>
        </w:rPr>
        <w:t>eidelberg</w:t>
      </w:r>
      <w:r>
        <w:rPr>
          <w:b/>
          <w:bCs/>
          <w:color w:val="0070C0"/>
        </w:rPr>
        <w:t xml:space="preserve">-teserne. </w:t>
      </w:r>
    </w:p>
    <w:p w:rsidR="006A7EC6" w:rsidRPr="00983795" w:rsidRDefault="006A7EC6" w:rsidP="00983795">
      <w:pPr>
        <w:spacing w:after="0"/>
      </w:pPr>
      <w:r w:rsidRPr="00983795">
        <w:t xml:space="preserve">Teksten er overkommelig i sin længde (4 sider). Hvis man tilsender dem </w:t>
      </w:r>
      <w:r w:rsidR="00983795">
        <w:t>til</w:t>
      </w:r>
      <w:r w:rsidRPr="00983795">
        <w:t xml:space="preserve"> deltagerne </w:t>
      </w:r>
      <w:r w:rsidR="00983795" w:rsidRPr="00983795">
        <w:t xml:space="preserve">i forvejen </w:t>
      </w:r>
      <w:r w:rsidRPr="00983795">
        <w:t xml:space="preserve">(hhv. hvis man oplyser ovenstående link) </w:t>
      </w:r>
      <w:r w:rsidR="00983795" w:rsidRPr="00983795">
        <w:t xml:space="preserve">vil det være oplagt, </w:t>
      </w:r>
      <w:r w:rsidRPr="00983795">
        <w:t>at gennemgå samtlige teser med deltagerne.</w:t>
      </w:r>
    </w:p>
    <w:p w:rsidR="00983795" w:rsidRDefault="00983795" w:rsidP="006A7EC6">
      <w:pPr>
        <w:spacing w:after="0"/>
      </w:pPr>
    </w:p>
    <w:p w:rsidR="006A7EC6" w:rsidRPr="00983795" w:rsidRDefault="006A7EC6" w:rsidP="006A7EC6">
      <w:pPr>
        <w:spacing w:after="0"/>
      </w:pPr>
      <w:r w:rsidRPr="00983795">
        <w:t>Alternativ vil vi anbefale en nærlæsning af især følgende teser:</w:t>
      </w:r>
    </w:p>
    <w:p w:rsidR="00F56260" w:rsidRPr="00983795" w:rsidRDefault="006A7EC6" w:rsidP="00983795">
      <w:pPr>
        <w:spacing w:after="0"/>
        <w:rPr>
          <w:b/>
          <w:bCs/>
        </w:rPr>
      </w:pPr>
      <w:r w:rsidRPr="00983795">
        <w:t>tese IV</w:t>
      </w:r>
      <w:r w:rsidR="00983795" w:rsidRPr="00983795">
        <w:t>; te</w:t>
      </w:r>
      <w:r w:rsidRPr="00983795">
        <w:t xml:space="preserve">serne XVI </w:t>
      </w:r>
      <w:r w:rsidR="00983795" w:rsidRPr="00983795">
        <w:t>–</w:t>
      </w:r>
      <w:r w:rsidRPr="00983795">
        <w:t xml:space="preserve"> XVIII</w:t>
      </w:r>
      <w:r w:rsidR="00983795" w:rsidRPr="00983795">
        <w:t xml:space="preserve"> samt teserne XXV – XXVIII. </w:t>
      </w:r>
      <w:r w:rsidRPr="00983795">
        <w:t xml:space="preserve"> </w:t>
      </w:r>
      <w:r w:rsidR="00915ED1" w:rsidRPr="00983795">
        <w:rPr>
          <w:b/>
          <w:bCs/>
        </w:rPr>
        <w:t xml:space="preserve">  </w:t>
      </w:r>
    </w:p>
    <w:p w:rsidR="00F56260" w:rsidRDefault="00F56260" w:rsidP="00F56260">
      <w:pPr>
        <w:rPr>
          <w:b/>
          <w:bCs/>
        </w:rPr>
      </w:pPr>
    </w:p>
    <w:p w:rsidR="00983795" w:rsidRDefault="00983795" w:rsidP="00CA506B">
      <w:pPr>
        <w:rPr>
          <w:b/>
          <w:bCs/>
        </w:rPr>
      </w:pPr>
      <w:r>
        <w:rPr>
          <w:b/>
          <w:bCs/>
        </w:rPr>
        <w:t>1. 3)  Forslag til supplerende drøftelse</w:t>
      </w:r>
      <w:r w:rsidR="00CA506B">
        <w:rPr>
          <w:b/>
          <w:bCs/>
        </w:rPr>
        <w:t>r</w:t>
      </w:r>
      <w:r>
        <w:rPr>
          <w:b/>
          <w:bCs/>
        </w:rPr>
        <w:t xml:space="preserve"> af forholdet mellem nåde og retfærdiggørelse. Hvordan forstod Luther denne sammenhæng – hvordan tolker vi den i dag?</w:t>
      </w:r>
    </w:p>
    <w:p w:rsidR="00983795" w:rsidRPr="000C358D" w:rsidRDefault="00983795" w:rsidP="00983795">
      <w:pPr>
        <w:rPr>
          <w:b/>
          <w:bCs/>
          <w:i/>
          <w:iCs/>
        </w:rPr>
      </w:pPr>
      <w:r w:rsidRPr="000C358D">
        <w:rPr>
          <w:b/>
          <w:bCs/>
          <w:i/>
          <w:iCs/>
        </w:rPr>
        <w:t xml:space="preserve">Forslag 1) </w:t>
      </w:r>
    </w:p>
    <w:p w:rsidR="000C358D" w:rsidRDefault="00983795" w:rsidP="006554AE">
      <w:r>
        <w:t xml:space="preserve">I sin besvarelse af spørgsmålet ”Hvad er nåde” (i bibelselskabets brevkasse / </w:t>
      </w:r>
      <w:hyperlink r:id="rId9" w:history="1">
        <w:r w:rsidRPr="00161BC5">
          <w:rPr>
            <w:rStyle w:val="Hyperlink"/>
          </w:rPr>
          <w:t>www.bibelskeslabet.dk</w:t>
        </w:r>
      </w:hyperlink>
      <w:r>
        <w:t xml:space="preserve"> / spoerg_om _bib</w:t>
      </w:r>
      <w:r w:rsidR="000C358D">
        <w:t>e</w:t>
      </w:r>
      <w:r>
        <w:t>len/naade) gør Tine Lindhardt opmærksom på,</w:t>
      </w:r>
      <w:r w:rsidR="000C358D">
        <w:t xml:space="preserve"> </w:t>
      </w:r>
      <w:r>
        <w:t>at man i den Nye Aftale (</w:t>
      </w:r>
      <w:r w:rsidR="000C358D">
        <w:t xml:space="preserve">nudansk </w:t>
      </w:r>
      <w:r>
        <w:t>oversættelse af det Nye Testa</w:t>
      </w:r>
      <w:r w:rsidR="000C358D">
        <w:t>me</w:t>
      </w:r>
      <w:r>
        <w:t>nte</w:t>
      </w:r>
      <w:r w:rsidR="000C358D">
        <w:t xml:space="preserve">, 1. udgave 2007) ikke længere bruger ordet ”nåde”. </w:t>
      </w:r>
      <w:r w:rsidR="006554AE">
        <w:t>D</w:t>
      </w:r>
      <w:r w:rsidR="000C358D">
        <w:t>erimod skriver man, hvad ordet betyder i den konkrete sammenhæng.</w:t>
      </w:r>
    </w:p>
    <w:p w:rsidR="000C358D" w:rsidRDefault="000C358D" w:rsidP="000C358D">
      <w:r>
        <w:lastRenderedPageBreak/>
        <w:t>Som eksempler på nudanske fortolkninger af ordet ”nåde” nævner Tine Lindhardt følgende bibelsteder:</w:t>
      </w:r>
    </w:p>
    <w:p w:rsidR="000C358D" w:rsidRDefault="000C358D" w:rsidP="000C358D">
      <w:r>
        <w:t>Romerbrevet 3, 22–24; Romerbrevet 5, 2; Korintherbrev 6, 2; Galaterbrevet 2, 21.</w:t>
      </w:r>
    </w:p>
    <w:p w:rsidR="000C358D" w:rsidRDefault="000C358D" w:rsidP="000C358D">
      <w:r>
        <w:t>Som et oplæg til diskussione</w:t>
      </w:r>
      <w:r w:rsidR="004B11DF">
        <w:t xml:space="preserve">n kunne man bede deltagerne om </w:t>
      </w:r>
      <w:r>
        <w:t>at finde disse fire bibelsteder i den autoriserede oversættelse fra 1992. Eft</w:t>
      </w:r>
      <w:r w:rsidR="004B11DF">
        <w:t xml:space="preserve">erfølgende kan man bede dem om </w:t>
      </w:r>
      <w:r>
        <w:t xml:space="preserve">at sammenligne disse vers med den nudanske oversættelse i den Nye Aftale fra 2007. </w:t>
      </w:r>
    </w:p>
    <w:p w:rsidR="000C358D" w:rsidRDefault="004B11DF" w:rsidP="000C358D">
      <w:r>
        <w:t>Hvilke begreber bliver brugt</w:t>
      </w:r>
      <w:r w:rsidR="000C358D">
        <w:t xml:space="preserve"> til at oversætte ordet ”nåde” med?</w:t>
      </w:r>
    </w:p>
    <w:p w:rsidR="000C358D" w:rsidRDefault="000C358D" w:rsidP="000C358D">
      <w:r>
        <w:t>Hvad synes deltagerne om disse ”oversættelser”? Kan ”nåden” f.eks. reduceres til at betyde ”foræring”?</w:t>
      </w:r>
    </w:p>
    <w:p w:rsidR="000C358D" w:rsidRDefault="000C358D" w:rsidP="000C358D">
      <w:r>
        <w:t>Evt. har deltagerne yderligere forslag til en mere moderne oversættelse/tolkning af nådesbegrebet.</w:t>
      </w:r>
    </w:p>
    <w:p w:rsidR="000C358D" w:rsidRDefault="000C358D" w:rsidP="006554AE">
      <w:r>
        <w:t xml:space="preserve">Denne sammenligning af bibelsteder i forskellige oversættelser kunne åbne en drøftelse af, hvad de enkelte deltagerne selv forstår under begrebet ”nåde”. </w:t>
      </w:r>
    </w:p>
    <w:p w:rsidR="000C358D" w:rsidRDefault="000C358D" w:rsidP="000C358D">
      <w:pPr>
        <w:rPr>
          <w:b/>
          <w:bCs/>
          <w:i/>
          <w:iCs/>
        </w:rPr>
      </w:pPr>
    </w:p>
    <w:p w:rsidR="000C358D" w:rsidRDefault="000C358D" w:rsidP="000C358D">
      <w:pPr>
        <w:rPr>
          <w:b/>
          <w:bCs/>
          <w:i/>
          <w:iCs/>
        </w:rPr>
      </w:pPr>
      <w:r>
        <w:rPr>
          <w:b/>
          <w:bCs/>
          <w:i/>
          <w:iCs/>
        </w:rPr>
        <w:t xml:space="preserve">Forslag 2 </w:t>
      </w:r>
    </w:p>
    <w:p w:rsidR="007A073A" w:rsidRDefault="007A073A" w:rsidP="007A073A">
      <w:r>
        <w:t xml:space="preserve">I sin besvarelse af spørgsmålet ”Hvad er nåde” (i bibelselskabets brevkasse / </w:t>
      </w:r>
      <w:hyperlink r:id="rId10" w:history="1">
        <w:r w:rsidRPr="00161BC5">
          <w:rPr>
            <w:rStyle w:val="Hyperlink"/>
          </w:rPr>
          <w:t>www.bibelskeslabet.dk</w:t>
        </w:r>
      </w:hyperlink>
      <w:r>
        <w:t xml:space="preserve"> / spoerg_om _bibelen/naade) drøfter Tine Lindhardt, hvad det betyder IKKE at vise nåde.</w:t>
      </w:r>
    </w:p>
    <w:p w:rsidR="00D07BA1" w:rsidRDefault="007A073A" w:rsidP="007A073A">
      <w:r>
        <w:t xml:space="preserve">Med udgangspunkt i hendes beskrivelse af nådesløsheden kunne man vælge en </w:t>
      </w:r>
    </w:p>
    <w:p w:rsidR="007A073A" w:rsidRDefault="00D07BA1" w:rsidP="00D07BA1">
      <w:r w:rsidRPr="00D07BA1">
        <w:rPr>
          <w:b/>
          <w:bCs/>
        </w:rPr>
        <w:t>billed</w:t>
      </w:r>
      <w:r w:rsidR="007A073A" w:rsidRPr="00D07BA1">
        <w:rPr>
          <w:b/>
          <w:bCs/>
        </w:rPr>
        <w:t>betragtning af f.eks.</w:t>
      </w:r>
      <w:r w:rsidRPr="00D07BA1">
        <w:rPr>
          <w:b/>
          <w:bCs/>
        </w:rPr>
        <w:t xml:space="preserve"> </w:t>
      </w:r>
      <w:r w:rsidR="007A073A" w:rsidRPr="00D07BA1">
        <w:rPr>
          <w:b/>
          <w:bCs/>
        </w:rPr>
        <w:t>Caravaggio:  Halshugning af Johannes (1608) /</w:t>
      </w:r>
      <w:r w:rsidR="007A073A">
        <w:t xml:space="preserve"> eller en anden kunstnerisk fremstilling af en nådesløs akt. </w:t>
      </w:r>
    </w:p>
    <w:p w:rsidR="007A073A" w:rsidRDefault="007A073A" w:rsidP="007A073A">
      <w:r w:rsidRPr="00D07BA1">
        <w:rPr>
          <w:b/>
          <w:bCs/>
        </w:rPr>
        <w:t>Følgende spørgsmål kunne knyttes til billedbetragtningen</w:t>
      </w:r>
      <w:r>
        <w:t>:</w:t>
      </w:r>
    </w:p>
    <w:p w:rsidR="007A073A" w:rsidRDefault="004B11DF" w:rsidP="00D07BA1">
      <w:pPr>
        <w:pStyle w:val="Listeafsnit"/>
        <w:numPr>
          <w:ilvl w:val="0"/>
          <w:numId w:val="2"/>
        </w:numPr>
      </w:pPr>
      <w:r>
        <w:t>Hvad gør/</w:t>
      </w:r>
      <w:r w:rsidR="007A073A">
        <w:t>føler de enkelte personer på billedet?</w:t>
      </w:r>
    </w:p>
    <w:p w:rsidR="007A073A" w:rsidRDefault="007A073A" w:rsidP="00D07BA1">
      <w:pPr>
        <w:pStyle w:val="Listeafsnit"/>
        <w:numPr>
          <w:ilvl w:val="0"/>
          <w:numId w:val="2"/>
        </w:numPr>
      </w:pPr>
      <w:r>
        <w:t>På billedet ”Halshugning af Johannes Døberen” fremstiller Caravaggio fra venstr</w:t>
      </w:r>
      <w:r w:rsidR="004B11DF">
        <w:t>e til højre følgende handlinger/</w:t>
      </w:r>
      <w:r>
        <w:t xml:space="preserve">holdninger: at vente, at blive forfærdet, at dømme til døden, at myrde, at dø. Desuden er der helt til højre to fanger, der iagttager hændelsen. </w:t>
      </w:r>
    </w:p>
    <w:p w:rsidR="007A073A" w:rsidRDefault="007A073A" w:rsidP="00D07BA1">
      <w:pPr>
        <w:pStyle w:val="Listeafsnit"/>
        <w:numPr>
          <w:ilvl w:val="0"/>
          <w:numId w:val="2"/>
        </w:numPr>
      </w:pPr>
      <w:r>
        <w:t>Hvem af disse personer (hvis overhovedet nogen af dem) udviser nåde?</w:t>
      </w:r>
    </w:p>
    <w:p w:rsidR="00D07BA1" w:rsidRDefault="00D07BA1" w:rsidP="00D07BA1">
      <w:pPr>
        <w:pStyle w:val="Listeafsnit"/>
        <w:numPr>
          <w:ilvl w:val="0"/>
          <w:numId w:val="2"/>
        </w:numPr>
      </w:pPr>
      <w:r>
        <w:t>Hvorfor skriver Caravaggio sit eget navn med blodet af den halshugne Johannes?  (denne signatur er den eneste, der er kendt fra Caravaggio).</w:t>
      </w:r>
    </w:p>
    <w:p w:rsidR="00D07BA1" w:rsidRDefault="00D07BA1" w:rsidP="00D07BA1">
      <w:pPr>
        <w:pStyle w:val="Listeafsnit"/>
        <w:numPr>
          <w:ilvl w:val="0"/>
          <w:numId w:val="2"/>
        </w:numPr>
      </w:pPr>
      <w:r>
        <w:lastRenderedPageBreak/>
        <w:t>Indeholder denne fremstilling af Johannes Døberens halshugning en in</w:t>
      </w:r>
      <w:r w:rsidR="004B11DF">
        <w:t xml:space="preserve">direkte fremstilling af nåden </w:t>
      </w:r>
      <w:r>
        <w:t>eller er der slet ingen nåde overhovedet?</w:t>
      </w:r>
    </w:p>
    <w:p w:rsidR="00D07BA1" w:rsidRDefault="00D07BA1" w:rsidP="00D07BA1"/>
    <w:p w:rsidR="00D07BA1" w:rsidRDefault="00D07BA1" w:rsidP="00D07BA1">
      <w:r>
        <w:t xml:space="preserve">Med udgangspunkt i denne billedbetragtning kunne man drøfte deltagernes syn på forholdet mellem nådesløshed og nåde. </w:t>
      </w:r>
    </w:p>
    <w:p w:rsidR="00D07BA1" w:rsidRDefault="00D07BA1" w:rsidP="00D07BA1">
      <w:pPr>
        <w:pStyle w:val="Listeafsnit"/>
        <w:numPr>
          <w:ilvl w:val="0"/>
          <w:numId w:val="3"/>
        </w:numPr>
      </w:pPr>
      <w:r>
        <w:t xml:space="preserve">Findes der en skjult nåde i tilsyneladende nådesløse begivenheder / hændelser / handlinger?  </w:t>
      </w:r>
    </w:p>
    <w:p w:rsidR="007A073A" w:rsidRDefault="007A073A" w:rsidP="007A073A"/>
    <w:p w:rsidR="00D07BA1" w:rsidRDefault="00D07BA1" w:rsidP="00D07BA1">
      <w:r>
        <w:t>Billedet af Mich</w:t>
      </w:r>
      <w:r w:rsidR="004B11DF">
        <w:t xml:space="preserve">elangelo Merisi da Caravaggio: </w:t>
      </w:r>
      <w:r>
        <w:t>”Halshugning af Johannes” (1608) er tilgængelig på nettet.</w:t>
      </w:r>
    </w:p>
    <w:p w:rsidR="00D07BA1" w:rsidRDefault="00D07BA1" w:rsidP="00D07BA1">
      <w:r>
        <w:t xml:space="preserve">Billedet kunne evt. fremvises som Power Point – eller der kunne uddeles farvekopier til deltagerne.  </w:t>
      </w:r>
    </w:p>
    <w:p w:rsidR="00D07BA1" w:rsidRPr="00D07BA1" w:rsidRDefault="00D07BA1" w:rsidP="00CA506B">
      <w:r>
        <w:t>V</w:t>
      </w:r>
      <w:r w:rsidRPr="00D07BA1">
        <w:t xml:space="preserve">ed at </w:t>
      </w:r>
      <w:r>
        <w:t>google</w:t>
      </w:r>
      <w:r w:rsidR="00CA506B">
        <w:t>:</w:t>
      </w:r>
      <w:r>
        <w:t xml:space="preserve"> Ein Tod ohne jeden Märtyrerglanz - Caravaggios ”Enthauptung des Johannes” finder man et billede, hvor også de to fanger i den højre side af billedet fremstår som klare og tydelige skikkelser. (Det er ikke tilfældet ved en del andre digitale gengivelser</w:t>
      </w:r>
      <w:r w:rsidR="00CA506B">
        <w:t>)</w:t>
      </w:r>
      <w:r>
        <w:t xml:space="preserve">. </w:t>
      </w:r>
      <w:r w:rsidRPr="00D07BA1">
        <w:t xml:space="preserve"> </w:t>
      </w:r>
    </w:p>
    <w:p w:rsidR="008577E4" w:rsidRDefault="00D07BA1" w:rsidP="006554AE">
      <w:r w:rsidRPr="00D07BA1">
        <w:t xml:space="preserve"> </w:t>
      </w:r>
    </w:p>
    <w:p w:rsidR="00044066" w:rsidRPr="008577E4" w:rsidRDefault="00044066" w:rsidP="008577E4">
      <w:pPr>
        <w:jc w:val="center"/>
        <w:rPr>
          <w:b/>
          <w:bCs/>
          <w:sz w:val="28"/>
          <w:szCs w:val="28"/>
        </w:rPr>
      </w:pPr>
      <w:r w:rsidRPr="008577E4">
        <w:rPr>
          <w:b/>
          <w:bCs/>
          <w:sz w:val="28"/>
          <w:szCs w:val="28"/>
        </w:rPr>
        <w:t xml:space="preserve">Andet møde: </w:t>
      </w:r>
      <w:r w:rsidRPr="008577E4">
        <w:rPr>
          <w:b/>
          <w:bCs/>
          <w:sz w:val="28"/>
          <w:szCs w:val="28"/>
        </w:rPr>
        <w:tab/>
        <w:t>Guds nåde i sakramenterne</w:t>
      </w:r>
    </w:p>
    <w:p w:rsidR="008577E4" w:rsidRDefault="008577E4" w:rsidP="00757899">
      <w:pPr>
        <w:rPr>
          <w:b/>
          <w:bCs/>
        </w:rPr>
      </w:pPr>
    </w:p>
    <w:p w:rsidR="00757899" w:rsidRPr="008577E4" w:rsidRDefault="00757899" w:rsidP="00757899">
      <w:pPr>
        <w:rPr>
          <w:b/>
          <w:bCs/>
        </w:rPr>
      </w:pPr>
      <w:r w:rsidRPr="008577E4">
        <w:rPr>
          <w:b/>
          <w:bCs/>
        </w:rPr>
        <w:t xml:space="preserve">2. 1) </w:t>
      </w:r>
      <w:r w:rsidRPr="008577E4">
        <w:rPr>
          <w:b/>
          <w:bCs/>
        </w:rPr>
        <w:tab/>
        <w:t>Introduktion til ”Nådens nøgler” (1530)</w:t>
      </w:r>
    </w:p>
    <w:p w:rsidR="00757899" w:rsidRPr="008577E4" w:rsidRDefault="00757899" w:rsidP="00C946A3">
      <w:pPr>
        <w:ind w:left="1305" w:hanging="1305"/>
        <w:rPr>
          <w:b/>
          <w:bCs/>
        </w:rPr>
      </w:pPr>
      <w:r w:rsidRPr="008577E4">
        <w:rPr>
          <w:b/>
          <w:bCs/>
        </w:rPr>
        <w:t xml:space="preserve">2. 2) </w:t>
      </w:r>
      <w:r w:rsidRPr="008577E4">
        <w:rPr>
          <w:b/>
          <w:bCs/>
        </w:rPr>
        <w:tab/>
        <w:t>Martin Luther: ”Nådens Nøgler”</w:t>
      </w:r>
      <w:r w:rsidR="00C946A3" w:rsidRPr="008577E4">
        <w:rPr>
          <w:b/>
          <w:bCs/>
        </w:rPr>
        <w:t xml:space="preserve"> (</w:t>
      </w:r>
      <w:r w:rsidRPr="008577E4">
        <w:rPr>
          <w:b/>
          <w:bCs/>
        </w:rPr>
        <w:t>1530</w:t>
      </w:r>
      <w:r w:rsidR="00C946A3" w:rsidRPr="008577E4">
        <w:rPr>
          <w:b/>
          <w:bCs/>
        </w:rPr>
        <w:t>)</w:t>
      </w:r>
      <w:r w:rsidRPr="008577E4">
        <w:rPr>
          <w:b/>
          <w:bCs/>
        </w:rPr>
        <w:t xml:space="preserve"> </w:t>
      </w:r>
    </w:p>
    <w:p w:rsidR="00044066" w:rsidRPr="008577E4" w:rsidRDefault="00044066" w:rsidP="001E1BE7">
      <w:pPr>
        <w:rPr>
          <w:b/>
          <w:bCs/>
        </w:rPr>
      </w:pPr>
      <w:r w:rsidRPr="008577E4">
        <w:rPr>
          <w:b/>
          <w:bCs/>
        </w:rPr>
        <w:t xml:space="preserve">2. 3) </w:t>
      </w:r>
      <w:r w:rsidRPr="008577E4">
        <w:rPr>
          <w:b/>
          <w:bCs/>
        </w:rPr>
        <w:tab/>
      </w:r>
      <w:r w:rsidR="001E1BE7" w:rsidRPr="008577E4">
        <w:rPr>
          <w:b/>
          <w:bCs/>
        </w:rPr>
        <w:t>F</w:t>
      </w:r>
      <w:r w:rsidR="00C86E98" w:rsidRPr="008577E4">
        <w:rPr>
          <w:b/>
          <w:bCs/>
        </w:rPr>
        <w:t xml:space="preserve">orslag til </w:t>
      </w:r>
      <w:r w:rsidRPr="008577E4">
        <w:rPr>
          <w:b/>
          <w:bCs/>
        </w:rPr>
        <w:t xml:space="preserve">supplerende </w:t>
      </w:r>
      <w:r w:rsidR="00C86E98" w:rsidRPr="008577E4">
        <w:rPr>
          <w:b/>
          <w:bCs/>
        </w:rPr>
        <w:t xml:space="preserve">materiale </w:t>
      </w:r>
      <w:r w:rsidRPr="008577E4">
        <w:rPr>
          <w:b/>
          <w:bCs/>
        </w:rPr>
        <w:t xml:space="preserve"> </w:t>
      </w:r>
    </w:p>
    <w:p w:rsidR="00044066" w:rsidRPr="008577E4" w:rsidRDefault="00044066" w:rsidP="00044066">
      <w:pPr>
        <w:rPr>
          <w:b/>
          <w:bCs/>
        </w:rPr>
      </w:pPr>
    </w:p>
    <w:p w:rsidR="00F912A4" w:rsidRDefault="00F912A4" w:rsidP="00F912A4">
      <w:pPr>
        <w:rPr>
          <w:b/>
          <w:bCs/>
        </w:rPr>
      </w:pPr>
      <w:r w:rsidRPr="00F912A4">
        <w:rPr>
          <w:b/>
          <w:bCs/>
        </w:rPr>
        <w:t xml:space="preserve">2. 1) </w:t>
      </w:r>
      <w:r w:rsidRPr="00F912A4">
        <w:rPr>
          <w:b/>
          <w:bCs/>
        </w:rPr>
        <w:tab/>
        <w:t>Introduktion til ”Nådens nøgler” (1530)</w:t>
      </w:r>
    </w:p>
    <w:p w:rsidR="00C86E98" w:rsidRDefault="00F912A4" w:rsidP="00C86E98">
      <w:pPr>
        <w:spacing w:after="0"/>
      </w:pPr>
      <w:r w:rsidRPr="00F912A4">
        <w:t xml:space="preserve">Guds </w:t>
      </w:r>
      <w:r>
        <w:t xml:space="preserve">nåde er en benådning. Den frigør fra synd, djævel og helvede. Den nådige Gud tilsiger syndernes forladelse. </w:t>
      </w:r>
    </w:p>
    <w:p w:rsidR="00F912A4" w:rsidRDefault="00F912A4" w:rsidP="00C86E98">
      <w:pPr>
        <w:spacing w:after="0"/>
      </w:pPr>
      <w:r>
        <w:t>I den kirkelige praksis finder syndernes forladelse sted gennem sakramenterne, dåben, nadveren samt gennem skriftemålet med efterfølgende absolution.</w:t>
      </w:r>
    </w:p>
    <w:p w:rsidR="00F912A4" w:rsidRDefault="00F912A4" w:rsidP="00C86E98">
      <w:pPr>
        <w:spacing w:after="0"/>
      </w:pPr>
      <w:r>
        <w:lastRenderedPageBreak/>
        <w:t>Svarende til denne sammenhæng mellem nåden og syndernes forladelse h</w:t>
      </w:r>
      <w:r w:rsidRPr="00F912A4">
        <w:t>ar Martin Lut</w:t>
      </w:r>
      <w:r>
        <w:t>h</w:t>
      </w:r>
      <w:r w:rsidRPr="00F912A4">
        <w:t xml:space="preserve">er </w:t>
      </w:r>
      <w:r>
        <w:t xml:space="preserve">helt konsekvent </w:t>
      </w:r>
      <w:r w:rsidRPr="00F912A4">
        <w:t>kny</w:t>
      </w:r>
      <w:r>
        <w:t>t</w:t>
      </w:r>
      <w:r w:rsidRPr="00F912A4">
        <w:t>tet sin tolkning af sakra</w:t>
      </w:r>
      <w:r>
        <w:t>me</w:t>
      </w:r>
      <w:r w:rsidRPr="00F912A4">
        <w:t>nterne sammen med hans tolkning af kirkens nøglemagt</w:t>
      </w:r>
      <w:r>
        <w:t>, det vil sige, den magt, som kirken har til at binde og løse synder. I Matthæusevangeliet 16, 19 siger Kristus til Peter: ”Jeg vil give dig nøglerne til Himmeriget, og hvad du binder på jorden, skal være bundet i himlene, og hvad du løser på jorden, skal være løst i himlene.” Og Peter er samtidig den udvalgte discipel, som Kristus ville bygge sin kirke på (Mt. 16, 18).</w:t>
      </w:r>
    </w:p>
    <w:p w:rsidR="00F912A4" w:rsidRDefault="00F912A4" w:rsidP="00C86E98">
      <w:r>
        <w:t>Den katolske pavekirke er ifølge sin egen selvforståelse Peters efterfølger, og har dermed overtaget nøglemagten til at løse og binde synderne. I sit skrift ”Von den Schlüsseln</w:t>
      </w:r>
      <w:r w:rsidR="00C86E98">
        <w:t>”</w:t>
      </w:r>
      <w:r>
        <w:t xml:space="preserve"> (Om nøglerne) fra 1530 gør Martin Luther op med den katolske kirkes misbrug af denne magt og diskuterer samtidig, hvordan menighede</w:t>
      </w:r>
      <w:r w:rsidR="00C86E98">
        <w:t>n</w:t>
      </w:r>
      <w:r>
        <w:t>s fuldmagt til at tilsige syndernes forladelse kan bruges på rette vis.</w:t>
      </w:r>
    </w:p>
    <w:p w:rsidR="00C86E98" w:rsidRDefault="00F912A4" w:rsidP="00C86E98">
      <w:r>
        <w:t>Cand. theol. Finn B. Andersen har oversat Luthers skrift: ”Von den Schlüsseln” (1530) ved at bruge en friere oversættelse af titlen: ”Nådens nøgler”.</w:t>
      </w:r>
      <w:r w:rsidR="00C86E98">
        <w:t xml:space="preserve"> </w:t>
      </w:r>
      <w:r>
        <w:t>Desuden har Finn B. Andersen forfattet en indledning til denne Lutherskrift, der ganske kort opridser de historiske omstændigheder, under hvilke værket blev til (</w:t>
      </w:r>
      <w:hyperlink r:id="rId11" w:history="1">
        <w:r w:rsidRPr="006B6211">
          <w:rPr>
            <w:rStyle w:val="Hyperlink"/>
          </w:rPr>
          <w:t>www.luthertekster</w:t>
        </w:r>
      </w:hyperlink>
      <w:r>
        <w:t xml:space="preserve"> på nettet / danske tekster kronologisk</w:t>
      </w:r>
      <w:r w:rsidR="00C86E98">
        <w:t xml:space="preserve"> 1526-30/1530 Nådens Nøgler).</w:t>
      </w:r>
    </w:p>
    <w:p w:rsidR="00C86E98" w:rsidRDefault="00C86E98" w:rsidP="00C86E98">
      <w:r>
        <w:t xml:space="preserve">De følgende få linjer gengiver begyndelsen af Finn B. Andersens indledning til teksten: ”Omkring 10 år inde i reformationen indkaldte kejseren til rigsdag i Augsburg 1530. På denne rigsdag fremlagde man fra luthersk side Den Augsburgske Bekendelse, som hører med blandt den danske kirkes bekendelsesskrifter. På grund af pavens bandlysning kunne Luther ikke selv deltage i rigsdagen, men opholdt sig på fæstningen Coburg, hvor han per bud løbende stod i kontakt med de lutherske forhandlere på rigsdagen. Under sit ophold i Coburg fik Luther tid til at forfatte et par mindre skrifter  […]”. Blandt disse skrifter var også </w:t>
      </w:r>
      <w:r w:rsidRPr="00C86E98">
        <w:t xml:space="preserve"> ”Von den Schlüsseln” (Om n</w:t>
      </w:r>
      <w:r>
        <w:t>ø</w:t>
      </w:r>
      <w:r w:rsidRPr="00C86E98">
        <w:t xml:space="preserve">glerne) </w:t>
      </w:r>
      <w:r>
        <w:t xml:space="preserve">fra </w:t>
      </w:r>
      <w:r w:rsidRPr="00C86E98">
        <w:t xml:space="preserve">1530. </w:t>
      </w:r>
      <w:r>
        <w:t xml:space="preserve"> </w:t>
      </w:r>
    </w:p>
    <w:p w:rsidR="00C86E98" w:rsidRDefault="00C86E98" w:rsidP="00C86E98">
      <w:pPr>
        <w:ind w:left="1305" w:hanging="1305"/>
        <w:rPr>
          <w:b/>
          <w:bCs/>
        </w:rPr>
      </w:pPr>
    </w:p>
    <w:p w:rsidR="008577E4" w:rsidRPr="00C86E98" w:rsidRDefault="008577E4" w:rsidP="00C86E98">
      <w:pPr>
        <w:ind w:left="1305" w:hanging="1305"/>
        <w:rPr>
          <w:b/>
          <w:bCs/>
        </w:rPr>
      </w:pPr>
    </w:p>
    <w:p w:rsidR="00C86E98" w:rsidRPr="00C86E98" w:rsidRDefault="00C86E98" w:rsidP="00C86E98">
      <w:pPr>
        <w:ind w:left="1305" w:hanging="1305"/>
        <w:rPr>
          <w:b/>
          <w:bCs/>
        </w:rPr>
      </w:pPr>
      <w:r w:rsidRPr="00C86E98">
        <w:rPr>
          <w:b/>
          <w:bCs/>
        </w:rPr>
        <w:t xml:space="preserve">2. 2) </w:t>
      </w:r>
      <w:r w:rsidRPr="00C86E98">
        <w:rPr>
          <w:b/>
          <w:bCs/>
        </w:rPr>
        <w:tab/>
        <w:t xml:space="preserve">Martin Luther: ”Nådens Nøgler” 1530 </w:t>
      </w:r>
    </w:p>
    <w:p w:rsidR="00C946A3" w:rsidRDefault="00C946A3" w:rsidP="001A18BB">
      <w:r>
        <w:t>I slutningen af sit skrift om nådens nøgler fra 1530 formaner Luther: ”At lære dette stykke om de to nøgler skal man lægge megen vægt på og atter praktisere. Mange bilder sig ind, at det kan de sagtens og forstår det dog ikke.” I vores tid kan vi sagtens føle os ramt af denne bemærkning.</w:t>
      </w:r>
      <w:r w:rsidR="001A18BB">
        <w:t xml:space="preserve"> </w:t>
      </w:r>
      <w:r>
        <w:t>For hvad er en bindenøgle</w:t>
      </w:r>
      <w:r w:rsidR="001A18BB">
        <w:t>? H</w:t>
      </w:r>
      <w:r>
        <w:t xml:space="preserve">vad </w:t>
      </w:r>
      <w:r w:rsidR="001A18BB">
        <w:t>k</w:t>
      </w:r>
      <w:r>
        <w:t>an</w:t>
      </w:r>
      <w:r w:rsidR="001A18BB">
        <w:t xml:space="preserve"> </w:t>
      </w:r>
      <w:r>
        <w:t>den?</w:t>
      </w:r>
      <w:r w:rsidR="001A18BB">
        <w:t xml:space="preserve"> O</w:t>
      </w:r>
      <w:r>
        <w:t>g hvad er en løsenøgle?</w:t>
      </w:r>
      <w:r w:rsidR="001A18BB">
        <w:t xml:space="preserve"> H</w:t>
      </w:r>
      <w:r>
        <w:t>vad kan den?</w:t>
      </w:r>
      <w:r w:rsidR="001A18BB">
        <w:t xml:space="preserve"> </w:t>
      </w:r>
      <w:r>
        <w:t>Hvem forvalter disse nøgler</w:t>
      </w:r>
      <w:r w:rsidR="001A18BB">
        <w:t>? H</w:t>
      </w:r>
      <w:r>
        <w:t>vilke forudsæ</w:t>
      </w:r>
      <w:r w:rsidR="001A18BB">
        <w:t>t</w:t>
      </w:r>
      <w:r>
        <w:t>nin</w:t>
      </w:r>
      <w:r w:rsidR="001A18BB">
        <w:t>g</w:t>
      </w:r>
      <w:r>
        <w:t>er skal man o</w:t>
      </w:r>
      <w:r w:rsidR="001A18BB">
        <w:t>p</w:t>
      </w:r>
      <w:r>
        <w:t>fyl</w:t>
      </w:r>
      <w:r w:rsidR="001A18BB">
        <w:t>de</w:t>
      </w:r>
      <w:r w:rsidR="004B11DF">
        <w:t xml:space="preserve"> </w:t>
      </w:r>
      <w:r>
        <w:t>for at forvalte nøglemagten</w:t>
      </w:r>
      <w:r w:rsidR="001A18BB">
        <w:t>? O</w:t>
      </w:r>
      <w:r>
        <w:t>g h</w:t>
      </w:r>
      <w:r w:rsidR="001A18BB">
        <w:t>v</w:t>
      </w:r>
      <w:r>
        <w:t>ordan modtager man</w:t>
      </w:r>
      <w:r w:rsidR="001A18BB">
        <w:t xml:space="preserve"> syndernes forladelse på rette vis? </w:t>
      </w:r>
      <w:r>
        <w:t xml:space="preserve">  </w:t>
      </w:r>
    </w:p>
    <w:p w:rsidR="00C946A3" w:rsidRDefault="001A18BB" w:rsidP="001D79BE">
      <w:r>
        <w:t>I sit skrift om nøglemagten drøfter Luther denne problematik i</w:t>
      </w:r>
      <w:r w:rsidR="001D79BE">
        <w:t xml:space="preserve">kke mindst </w:t>
      </w:r>
      <w:r>
        <w:t xml:space="preserve">i forbindelse med sakramenterne, dåben og nadveren samt i forbindelse med skriftemålet og absolution. </w:t>
      </w:r>
      <w:r w:rsidR="001D79BE">
        <w:t>S</w:t>
      </w:r>
      <w:r>
        <w:t>elvom Luthers terminologi godt kan virke fremmed for os, er emnet på ingen måde irrelevant.</w:t>
      </w:r>
      <w:r w:rsidR="001D79BE">
        <w:t xml:space="preserve"> </w:t>
      </w:r>
      <w:r>
        <w:t>Det, der her står på spil</w:t>
      </w:r>
      <w:r w:rsidR="001D79BE">
        <w:t>,</w:t>
      </w:r>
      <w:r>
        <w:t xml:space="preserve"> er spørgsmålet om menighedens fuldmagt til at tilsige syndernes forladelse.  En læsning af Luthers skrift ”Om nådens nøgler” fra 1530 kan dermed give anledning til at drøfte vores</w:t>
      </w:r>
      <w:r w:rsidR="001D79BE">
        <w:t xml:space="preserve"> syn på syndernes forladelse i forbindelse med sakramenterne. Luthers skrift kan desuden bruges som inspiration til at drøfte vores brug (hhv. ikke–brug) af skriftemål og absolution. </w:t>
      </w:r>
      <w:r>
        <w:t xml:space="preserve">      </w:t>
      </w:r>
    </w:p>
    <w:p w:rsidR="001E1BE7" w:rsidRPr="001E1BE7" w:rsidRDefault="001E1BE7" w:rsidP="001E1BE7">
      <w:pPr>
        <w:rPr>
          <w:b/>
          <w:bCs/>
        </w:rPr>
      </w:pPr>
      <w:r w:rsidRPr="001E1BE7">
        <w:rPr>
          <w:b/>
          <w:bCs/>
        </w:rPr>
        <w:lastRenderedPageBreak/>
        <w:t>Hv</w:t>
      </w:r>
      <w:r>
        <w:rPr>
          <w:b/>
          <w:bCs/>
        </w:rPr>
        <w:t>o</w:t>
      </w:r>
      <w:r w:rsidRPr="001E1BE7">
        <w:rPr>
          <w:b/>
          <w:bCs/>
        </w:rPr>
        <w:t xml:space="preserve">r finder man skriftet? </w:t>
      </w:r>
    </w:p>
    <w:p w:rsidR="004F7E75" w:rsidRDefault="004F7E75" w:rsidP="004F7E75">
      <w:pPr>
        <w:spacing w:after="0"/>
      </w:pPr>
      <w:r>
        <w:t xml:space="preserve">Luthers skrift ”Von den Schlüsseln ” (1530) er tilgængelig på nettet i Finn B. Andersens danske oversættelse: ”Nådens nøgler”  </w:t>
      </w:r>
    </w:p>
    <w:p w:rsidR="004F7E75" w:rsidRDefault="004F7E75" w:rsidP="004F7E75">
      <w:pPr>
        <w:spacing w:after="0"/>
      </w:pPr>
      <w:r>
        <w:t>(</w:t>
      </w:r>
      <w:hyperlink r:id="rId12" w:history="1">
        <w:r w:rsidRPr="006B6211">
          <w:rPr>
            <w:rStyle w:val="Hyperlink"/>
          </w:rPr>
          <w:t>www.luthertekster</w:t>
        </w:r>
      </w:hyperlink>
      <w:r>
        <w:t xml:space="preserve"> på nettet / danske tekster kronologisk 1526-30/1530 Nådens Nøgler).</w:t>
      </w:r>
    </w:p>
    <w:p w:rsidR="00F912A4" w:rsidRDefault="00F912A4" w:rsidP="00F912A4">
      <w:r>
        <w:t xml:space="preserve">  </w:t>
      </w:r>
    </w:p>
    <w:p w:rsidR="001E1BE7" w:rsidRPr="001E1BE7" w:rsidRDefault="001E1BE7" w:rsidP="00F912A4">
      <w:pPr>
        <w:rPr>
          <w:b/>
          <w:bCs/>
        </w:rPr>
      </w:pPr>
      <w:r w:rsidRPr="001E1BE7">
        <w:rPr>
          <w:b/>
          <w:bCs/>
        </w:rPr>
        <w:t xml:space="preserve">Hvordan er skriftet inddelt? </w:t>
      </w:r>
    </w:p>
    <w:p w:rsidR="00C125A9" w:rsidRDefault="00C125A9" w:rsidP="001E1BE7">
      <w:pPr>
        <w:spacing w:after="0"/>
      </w:pPr>
      <w:r>
        <w:t xml:space="preserve">Finn B. Andersen har til sin oversættelse tilføjet en fortegnelse over værkets enkelte afsnit. </w:t>
      </w:r>
    </w:p>
    <w:p w:rsidR="00C125A9" w:rsidRDefault="00C125A9" w:rsidP="001E1BE7">
      <w:pPr>
        <w:spacing w:after="0"/>
      </w:pPr>
      <w:r>
        <w:t>Overordnet består værket af fire kapitler:</w:t>
      </w:r>
    </w:p>
    <w:p w:rsidR="00C125A9" w:rsidRDefault="004B11DF" w:rsidP="001E1BE7">
      <w:pPr>
        <w:spacing w:after="0"/>
      </w:pPr>
      <w:r>
        <w:t xml:space="preserve">Det første misbrug - </w:t>
      </w:r>
      <w:r w:rsidR="00C125A9">
        <w:t xml:space="preserve">Det andet misbrug – det tredje misbrug – Nøglernes rette brug. </w:t>
      </w:r>
    </w:p>
    <w:p w:rsidR="006554AE" w:rsidRDefault="006554AE" w:rsidP="001E1BE7">
      <w:pPr>
        <w:spacing w:after="0"/>
        <w:rPr>
          <w:b/>
          <w:bCs/>
        </w:rPr>
      </w:pPr>
    </w:p>
    <w:p w:rsidR="00C125A9" w:rsidRPr="001E1BE7" w:rsidRDefault="00C125A9" w:rsidP="001E1BE7">
      <w:pPr>
        <w:spacing w:after="0"/>
      </w:pPr>
      <w:r w:rsidRPr="001E1BE7">
        <w:t>Vi anbefaler, at man koncentrerer sig i sin drøftelse af dette skrift på det fjerde kapitel:</w:t>
      </w:r>
      <w:r w:rsidR="001E1BE7">
        <w:t xml:space="preserve"> </w:t>
      </w:r>
      <w:r w:rsidRPr="001E1BE7">
        <w:t>Nøglernes rette brug.</w:t>
      </w:r>
    </w:p>
    <w:p w:rsidR="00C125A9" w:rsidRPr="001E1BE7" w:rsidRDefault="00C125A9" w:rsidP="001E1BE7">
      <w:pPr>
        <w:spacing w:after="0"/>
      </w:pPr>
      <w:r w:rsidRPr="001E1BE7">
        <w:t>Her kan man evt. udvælge enkelte afsnit, som f.eks.:</w:t>
      </w:r>
    </w:p>
    <w:p w:rsidR="00C125A9" w:rsidRPr="001E1BE7" w:rsidRDefault="001E1BE7" w:rsidP="001E1BE7">
      <w:pPr>
        <w:pStyle w:val="Listeafsnit"/>
        <w:numPr>
          <w:ilvl w:val="0"/>
          <w:numId w:val="3"/>
        </w:numPr>
        <w:spacing w:after="0"/>
      </w:pPr>
      <w:r>
        <w:t>T</w:t>
      </w:r>
      <w:r w:rsidR="00C125A9" w:rsidRPr="001E1BE7">
        <w:t xml:space="preserve">roen modtager nåden, men skaber den ikke </w:t>
      </w:r>
    </w:p>
    <w:p w:rsidR="00C125A9" w:rsidRPr="001E1BE7" w:rsidRDefault="00C125A9" w:rsidP="001E1BE7">
      <w:pPr>
        <w:pStyle w:val="Listeafsnit"/>
        <w:numPr>
          <w:ilvl w:val="0"/>
          <w:numId w:val="3"/>
        </w:numPr>
        <w:spacing w:after="0"/>
      </w:pPr>
      <w:r w:rsidRPr="001E1BE7">
        <w:t xml:space="preserve">Gud handler i sakramenterne </w:t>
      </w:r>
    </w:p>
    <w:p w:rsidR="00C125A9" w:rsidRPr="001E1BE7" w:rsidRDefault="00C125A9" w:rsidP="001E1BE7">
      <w:pPr>
        <w:pStyle w:val="Listeafsnit"/>
        <w:numPr>
          <w:ilvl w:val="0"/>
          <w:numId w:val="3"/>
        </w:numPr>
        <w:spacing w:after="0"/>
      </w:pPr>
      <w:r w:rsidRPr="001E1BE7">
        <w:t>Sakramenternes gyldighed og gavn</w:t>
      </w:r>
    </w:p>
    <w:p w:rsidR="00C125A9" w:rsidRPr="001E1BE7" w:rsidRDefault="00C125A9" w:rsidP="001E1BE7">
      <w:pPr>
        <w:pStyle w:val="Listeafsnit"/>
        <w:numPr>
          <w:ilvl w:val="0"/>
          <w:numId w:val="3"/>
        </w:numPr>
        <w:spacing w:after="0"/>
      </w:pPr>
      <w:r w:rsidRPr="001E1BE7">
        <w:t>Kirketugt i praksis</w:t>
      </w:r>
    </w:p>
    <w:p w:rsidR="00C125A9" w:rsidRPr="001E1BE7" w:rsidRDefault="001E1BE7" w:rsidP="001E1BE7">
      <w:pPr>
        <w:pStyle w:val="Listeafsnit"/>
        <w:numPr>
          <w:ilvl w:val="0"/>
          <w:numId w:val="3"/>
        </w:numPr>
        <w:spacing w:after="0"/>
      </w:pPr>
      <w:r>
        <w:t>M</w:t>
      </w:r>
      <w:r w:rsidR="00C125A9" w:rsidRPr="001E1BE7">
        <w:t>enighedens medindflydelse</w:t>
      </w:r>
    </w:p>
    <w:p w:rsidR="00C125A9" w:rsidRPr="001E1BE7" w:rsidRDefault="001E1BE7" w:rsidP="001E1BE7">
      <w:pPr>
        <w:pStyle w:val="Listeafsnit"/>
        <w:numPr>
          <w:ilvl w:val="0"/>
          <w:numId w:val="3"/>
        </w:numPr>
        <w:spacing w:after="0"/>
      </w:pPr>
      <w:r>
        <w:t>F</w:t>
      </w:r>
      <w:r w:rsidR="00C125A9" w:rsidRPr="001E1BE7">
        <w:t>rafaldets realitet i kristenlivet (dette er et afsnit om dåben)</w:t>
      </w:r>
    </w:p>
    <w:p w:rsidR="001E1BE7" w:rsidRPr="001E1BE7" w:rsidRDefault="001E1BE7" w:rsidP="001E1BE7">
      <w:pPr>
        <w:pStyle w:val="Listeafsnit"/>
        <w:numPr>
          <w:ilvl w:val="0"/>
          <w:numId w:val="3"/>
        </w:numPr>
        <w:spacing w:after="0"/>
      </w:pPr>
      <w:r>
        <w:t>D</w:t>
      </w:r>
      <w:r w:rsidRPr="001E1BE7">
        <w:t>en grænseløse nåde</w:t>
      </w:r>
    </w:p>
    <w:p w:rsidR="00C125A9" w:rsidRPr="001E1BE7" w:rsidRDefault="001E1BE7" w:rsidP="001E1BE7">
      <w:pPr>
        <w:pStyle w:val="Listeafsnit"/>
        <w:numPr>
          <w:ilvl w:val="0"/>
          <w:numId w:val="3"/>
        </w:numPr>
        <w:spacing w:after="0"/>
      </w:pPr>
      <w:r w:rsidRPr="001E1BE7">
        <w:t xml:space="preserve">Ny genfødsels ved tro i omvendelsen (om at blive bragt tilbage til sin dåbs uskyld) </w:t>
      </w:r>
      <w:r w:rsidR="00C125A9" w:rsidRPr="001E1BE7">
        <w:t xml:space="preserve"> </w:t>
      </w:r>
    </w:p>
    <w:p w:rsidR="00C125A9" w:rsidRDefault="00C125A9" w:rsidP="001E1BE7"/>
    <w:p w:rsidR="001E1BE7" w:rsidRDefault="001E1BE7" w:rsidP="001E1BE7">
      <w:pPr>
        <w:rPr>
          <w:b/>
          <w:bCs/>
        </w:rPr>
      </w:pPr>
      <w:r w:rsidRPr="001E1BE7">
        <w:rPr>
          <w:b/>
          <w:bCs/>
        </w:rPr>
        <w:t xml:space="preserve">2. 3) </w:t>
      </w:r>
      <w:r w:rsidRPr="001E1BE7">
        <w:rPr>
          <w:b/>
          <w:bCs/>
        </w:rPr>
        <w:tab/>
        <w:t xml:space="preserve">Forslag til supplerende materiale  </w:t>
      </w:r>
    </w:p>
    <w:p w:rsidR="001E1BE7" w:rsidRPr="001E1BE7" w:rsidRDefault="001E1BE7" w:rsidP="008577E4">
      <w:pPr>
        <w:spacing w:after="0"/>
      </w:pPr>
      <w:r w:rsidRPr="001E1BE7">
        <w:t>I en drøftelse af forholdet mellem nåden, syndernes forladelse og sakramenterne kan man</w:t>
      </w:r>
    </w:p>
    <w:p w:rsidR="001E1BE7" w:rsidRPr="001E1BE7" w:rsidRDefault="001E1BE7" w:rsidP="008577E4">
      <w:pPr>
        <w:spacing w:after="0"/>
      </w:pPr>
      <w:r w:rsidRPr="001E1BE7">
        <w:t xml:space="preserve">evt. inddrage artiklerne fra Luthers Lille </w:t>
      </w:r>
      <w:r w:rsidR="004B11DF">
        <w:t>Katekismus</w:t>
      </w:r>
      <w:r w:rsidRPr="001E1BE7">
        <w:t xml:space="preserve"> om dåben, skriftemålet nadveren.</w:t>
      </w:r>
    </w:p>
    <w:p w:rsidR="001E1BE7" w:rsidRPr="001E1BE7" w:rsidRDefault="001E1BE7" w:rsidP="008577E4">
      <w:pPr>
        <w:spacing w:after="0"/>
      </w:pPr>
      <w:r w:rsidRPr="001E1BE7">
        <w:t xml:space="preserve">(Den Danske Salmebog 2002, s. 971-975).  </w:t>
      </w:r>
    </w:p>
    <w:p w:rsidR="001E1BE7" w:rsidRDefault="001E1BE7" w:rsidP="001E1BE7"/>
    <w:p w:rsidR="001E1BE7" w:rsidRPr="001E1BE7" w:rsidRDefault="001E1BE7" w:rsidP="001E1BE7"/>
    <w:p w:rsidR="00044066" w:rsidRDefault="004B11DF" w:rsidP="008577E4">
      <w:pPr>
        <w:jc w:val="center"/>
        <w:rPr>
          <w:b/>
          <w:bCs/>
          <w:sz w:val="28"/>
          <w:szCs w:val="28"/>
        </w:rPr>
      </w:pPr>
      <w:r>
        <w:rPr>
          <w:b/>
          <w:bCs/>
          <w:sz w:val="28"/>
          <w:szCs w:val="28"/>
        </w:rPr>
        <w:lastRenderedPageBreak/>
        <w:t xml:space="preserve">Tredje møde: </w:t>
      </w:r>
      <w:r w:rsidR="00044066" w:rsidRPr="008577E4">
        <w:rPr>
          <w:b/>
          <w:bCs/>
          <w:sz w:val="28"/>
          <w:szCs w:val="28"/>
        </w:rPr>
        <w:t>Guds nåde frelser</w:t>
      </w:r>
    </w:p>
    <w:p w:rsidR="008577E4" w:rsidRPr="008577E4" w:rsidRDefault="008577E4" w:rsidP="008577E4">
      <w:pPr>
        <w:jc w:val="center"/>
        <w:rPr>
          <w:b/>
          <w:bCs/>
          <w:sz w:val="28"/>
          <w:szCs w:val="28"/>
        </w:rPr>
      </w:pPr>
    </w:p>
    <w:p w:rsidR="00AD6F8C" w:rsidRPr="008577E4" w:rsidRDefault="00AD6F8C" w:rsidP="00AD6F8C">
      <w:pPr>
        <w:rPr>
          <w:b/>
          <w:bCs/>
        </w:rPr>
      </w:pPr>
      <w:r w:rsidRPr="008577E4">
        <w:rPr>
          <w:b/>
          <w:bCs/>
        </w:rPr>
        <w:t>3. 1)</w:t>
      </w:r>
      <w:r w:rsidRPr="008577E4">
        <w:rPr>
          <w:b/>
          <w:bCs/>
        </w:rPr>
        <w:tab/>
        <w:t xml:space="preserve">Introduktion til Martin Luthers Kirkepostil (1544) samt til Joh 14-16   </w:t>
      </w:r>
    </w:p>
    <w:p w:rsidR="00044066" w:rsidRPr="008577E4" w:rsidRDefault="00AD6F8C" w:rsidP="00AD6F8C">
      <w:pPr>
        <w:rPr>
          <w:b/>
          <w:bCs/>
        </w:rPr>
      </w:pPr>
      <w:r w:rsidRPr="008577E4">
        <w:rPr>
          <w:b/>
          <w:bCs/>
        </w:rPr>
        <w:t xml:space="preserve">3. 2) </w:t>
      </w:r>
      <w:r w:rsidRPr="008577E4">
        <w:rPr>
          <w:b/>
          <w:bCs/>
        </w:rPr>
        <w:tab/>
        <w:t xml:space="preserve">Martin Luther:  Prædiken over Joh 16, 16-22 i:  Kirkepostillen (1544)  </w:t>
      </w:r>
    </w:p>
    <w:p w:rsidR="00AD6F8C" w:rsidRPr="008577E4" w:rsidRDefault="00AD6F8C" w:rsidP="00A558D0">
      <w:pPr>
        <w:rPr>
          <w:b/>
          <w:bCs/>
        </w:rPr>
      </w:pPr>
      <w:r w:rsidRPr="008577E4">
        <w:rPr>
          <w:b/>
          <w:bCs/>
        </w:rPr>
        <w:t>3. 3)</w:t>
      </w:r>
      <w:r w:rsidRPr="008577E4">
        <w:rPr>
          <w:b/>
          <w:bCs/>
        </w:rPr>
        <w:tab/>
      </w:r>
      <w:r w:rsidR="00FC1BE5" w:rsidRPr="008577E4">
        <w:rPr>
          <w:b/>
          <w:bCs/>
        </w:rPr>
        <w:t xml:space="preserve">Forslag til </w:t>
      </w:r>
      <w:r w:rsidR="00A558D0">
        <w:rPr>
          <w:b/>
          <w:bCs/>
        </w:rPr>
        <w:t xml:space="preserve">supplerende materiale </w:t>
      </w:r>
    </w:p>
    <w:p w:rsidR="00AD6F8C" w:rsidRDefault="00AD6F8C" w:rsidP="00044066"/>
    <w:p w:rsidR="00AD6F8C" w:rsidRPr="00AD6F8C" w:rsidRDefault="00AD6F8C" w:rsidP="00AD6F8C">
      <w:pPr>
        <w:rPr>
          <w:b/>
          <w:bCs/>
        </w:rPr>
      </w:pPr>
      <w:r w:rsidRPr="00AD6F8C">
        <w:rPr>
          <w:b/>
          <w:bCs/>
        </w:rPr>
        <w:t>3. 1)</w:t>
      </w:r>
      <w:r w:rsidRPr="00AD6F8C">
        <w:rPr>
          <w:b/>
          <w:bCs/>
        </w:rPr>
        <w:tab/>
        <w:t xml:space="preserve">Introduktion til Martin Luthers Kirkepostil (1544) samt til Joh 14-16   </w:t>
      </w:r>
    </w:p>
    <w:p w:rsidR="00400ADD" w:rsidRDefault="00AD6F8C" w:rsidP="00E45491">
      <w:r>
        <w:t xml:space="preserve">Finn B. Andersen </w:t>
      </w:r>
      <w:r w:rsidR="00400ADD">
        <w:t xml:space="preserve">har den fortjeneste, at </w:t>
      </w:r>
      <w:r w:rsidR="00E45491">
        <w:t xml:space="preserve">han </w:t>
      </w:r>
      <w:r w:rsidR="00400ADD">
        <w:t xml:space="preserve">gør </w:t>
      </w:r>
      <w:r>
        <w:t>Luthers Kirkepostil</w:t>
      </w:r>
      <w:r w:rsidR="00400ADD">
        <w:t xml:space="preserve"> tilgængelig på nettet i en ny dansk oversættelse. Indtil alle prædikerne er oversat til dansk, er det des</w:t>
      </w:r>
      <w:r w:rsidR="00E45491">
        <w:t>uden</w:t>
      </w:r>
      <w:r w:rsidR="004B11DF">
        <w:t xml:space="preserve"> muligt</w:t>
      </w:r>
      <w:r w:rsidR="00400ADD">
        <w:t xml:space="preserve"> at læse Luthers prædikene</w:t>
      </w:r>
      <w:r w:rsidR="00E45491">
        <w:t>r</w:t>
      </w:r>
      <w:r w:rsidR="00400ADD">
        <w:t xml:space="preserve"> fra Kirkepostillen i den engelske oversættelse fra 1905 (John Nicholas Lenkers udgave).</w:t>
      </w:r>
    </w:p>
    <w:p w:rsidR="00400ADD" w:rsidRDefault="00400ADD" w:rsidP="006554AE">
      <w:r>
        <w:t xml:space="preserve">Finn B. Andersens oversættelse af Luthers ”udlægning af episteltekster og evangelietekster for hele året” er tilgængelige på: </w:t>
      </w:r>
      <w:hyperlink r:id="rId13" w:history="1">
        <w:r w:rsidRPr="00673855">
          <w:rPr>
            <w:rStyle w:val="Hyperlink"/>
          </w:rPr>
          <w:t>www.lutherdansk.dk</w:t>
        </w:r>
      </w:hyperlink>
      <w:r>
        <w:t xml:space="preserve"> </w:t>
      </w:r>
      <w:r w:rsidR="00E45491">
        <w:t xml:space="preserve">. Ved at vælge: </w:t>
      </w:r>
      <w:r w:rsidR="00E45491" w:rsidRPr="006554AE">
        <w:rPr>
          <w:color w:val="0070C0"/>
        </w:rPr>
        <w:t>Danske tekster</w:t>
      </w:r>
      <w:r w:rsidRPr="006554AE">
        <w:rPr>
          <w:color w:val="0070C0"/>
        </w:rPr>
        <w:t xml:space="preserve"> </w:t>
      </w:r>
      <w:r w:rsidR="00E45491" w:rsidRPr="006554AE">
        <w:rPr>
          <w:color w:val="0070C0"/>
        </w:rPr>
        <w:t xml:space="preserve">kronologisk 1540-1544 </w:t>
      </w:r>
      <w:r w:rsidR="00E45491">
        <w:t xml:space="preserve">finder man </w:t>
      </w:r>
      <w:r w:rsidR="00E45491" w:rsidRPr="006554AE">
        <w:rPr>
          <w:color w:val="0070C0"/>
        </w:rPr>
        <w:t>Martin Luthers ”Fuldstændige Kirkepostil” fra 1544</w:t>
      </w:r>
      <w:r w:rsidR="00E45491">
        <w:t xml:space="preserve">.   </w:t>
      </w:r>
    </w:p>
    <w:p w:rsidR="00E45491" w:rsidRDefault="00E45491" w:rsidP="00E45491">
      <w:r>
        <w:t>Finn B. Andersen skriver i sin indledning til denne tekstsamling: ”</w:t>
      </w:r>
      <w:r w:rsidR="00AD6F8C">
        <w:t>1544 udkom den sidste og komplette udgave af Martin Luthers Kirkepostil under titlen:</w:t>
      </w:r>
      <w:r>
        <w:t xml:space="preserve"> </w:t>
      </w:r>
      <w:r w:rsidR="00AD6F8C">
        <w:t>”Udlægning af episteltekster og evangelietekster for hele året, Dr. Martin Luther”.</w:t>
      </w:r>
      <w:r>
        <w:t xml:space="preserve"> </w:t>
      </w:r>
      <w:r w:rsidR="00AD6F8C">
        <w:t>Luther havde bedt sin kollega Kaspar Creutziger om at stå for denne udgave af Kirkepostillen i årene 1540-44. Den færdige udgave indeholder forord af Luther selv.</w:t>
      </w:r>
      <w:r>
        <w:t xml:space="preserve"> Det er således den sidste, reviderede udgave af Kirkepostillen, som Luther selv har godkendt og deltaget i revisionen af.” (</w:t>
      </w:r>
      <w:hyperlink r:id="rId14" w:history="1">
        <w:r w:rsidRPr="001F138B">
          <w:rPr>
            <w:rStyle w:val="Hyperlink"/>
          </w:rPr>
          <w:t>www.lutherdansk.dk</w:t>
        </w:r>
      </w:hyperlink>
      <w:r>
        <w:t>, jf. den nævnte link).</w:t>
      </w:r>
    </w:p>
    <w:p w:rsidR="00F7320A" w:rsidRDefault="00F7320A" w:rsidP="00F7320A">
      <w:r>
        <w:t>Luther har selv skrevet en indledning til Kirke-Postillen fra 1544 under titlen: ”En lille vejledning i, hvad man kan forvente at finde i evangelierne”. Denne vejledning kunne man ligeledes drøfte med deltagerne.</w:t>
      </w:r>
    </w:p>
    <w:p w:rsidR="00F7320A" w:rsidRDefault="00F7320A" w:rsidP="00F7320A">
      <w:r>
        <w:t xml:space="preserve">Især afsnittet: Kristus som gave ( del 1 af kapitlet: Kristus som gave og som eksempel) er oplagt for en drøftelse af Luthers – og vores –  opfattelse af forholdet mellem nåde, tro, glæde og Guds kærlighed.  </w:t>
      </w:r>
    </w:p>
    <w:p w:rsidR="00044066" w:rsidRDefault="00FC1BE5" w:rsidP="00FC1BE5">
      <w:r>
        <w:t xml:space="preserve">Som Finn. B. Andersen nævner i introduktionen, anså </w:t>
      </w:r>
      <w:r w:rsidR="00AD6F8C">
        <w:t>Martin Luther selv sin Kirkepostil for</w:t>
      </w:r>
      <w:r>
        <w:t xml:space="preserve">: </w:t>
      </w:r>
      <w:r w:rsidR="00AD6F8C">
        <w:t xml:space="preserve">”Den bedste af alle mine bøger”.  </w:t>
      </w:r>
    </w:p>
    <w:p w:rsidR="00FC1BE5" w:rsidRDefault="00FC1BE5" w:rsidP="00FC1BE5">
      <w:r>
        <w:lastRenderedPageBreak/>
        <w:t>Ud af Luthers Kirkepostil har vi valgt Luthers prædiken over Johannes 16, 16-22.  Denne tekst til 3. søndag efter påske er et afsnit fra Jesu afskedstaler Joh. 14-16. Jesu afskedstaler indeholder det sidste, han har sagt til sine disciple, før han blev arresteret, sendt til forhør, dømt til døden og korsfæstet. På sin vis er disse taler selv en nådeshandling. For det, Jesus siger til sine disciple, er fortrøstningsfulde løfter.</w:t>
      </w:r>
    </w:p>
    <w:p w:rsidR="00FC1BE5" w:rsidRDefault="00FC1BE5" w:rsidP="00FC1BE5">
      <w:r>
        <w:t xml:space="preserve">I en anden af sine prædikensamlinger (ikke i Kirkepostillen, men i Luthers prædikener over Johannesevangeliet) skriver Luther i forordet, at Johannes 14-16 er ” de allerkærligste, venligste, mest trøsterige og livsaligste ord, som den kære trofaste frelser, Kristus, talte til sine kære disciple, da han tog afsked med dem.”  </w:t>
      </w:r>
    </w:p>
    <w:p w:rsidR="00A558D0" w:rsidRDefault="00A558D0" w:rsidP="00FC1BE5"/>
    <w:p w:rsidR="00FC1BE5" w:rsidRDefault="00FC1BE5" w:rsidP="00FC1BE5"/>
    <w:p w:rsidR="00FC1BE5" w:rsidRDefault="004B11DF" w:rsidP="00FC1BE5">
      <w:pPr>
        <w:rPr>
          <w:b/>
          <w:bCs/>
        </w:rPr>
      </w:pPr>
      <w:r>
        <w:rPr>
          <w:b/>
          <w:bCs/>
        </w:rPr>
        <w:t xml:space="preserve">3. 2) </w:t>
      </w:r>
      <w:r>
        <w:rPr>
          <w:b/>
          <w:bCs/>
        </w:rPr>
        <w:tab/>
        <w:t xml:space="preserve">Martin Luther: Prædiken over Joh 16, 16-22 i: </w:t>
      </w:r>
      <w:r w:rsidR="00FC1BE5" w:rsidRPr="00FC1BE5">
        <w:rPr>
          <w:b/>
          <w:bCs/>
        </w:rPr>
        <w:t xml:space="preserve">Kirkepostillen (1544)  </w:t>
      </w:r>
    </w:p>
    <w:p w:rsidR="00FC1BE5" w:rsidRDefault="00FC1BE5" w:rsidP="00FC1BE5">
      <w:r>
        <w:t xml:space="preserve">teksten er tilgængelig på: </w:t>
      </w:r>
      <w:hyperlink r:id="rId15" w:history="1">
        <w:r w:rsidRPr="00673855">
          <w:rPr>
            <w:rStyle w:val="Hyperlink"/>
          </w:rPr>
          <w:t>www.lutherdansk.dk</w:t>
        </w:r>
      </w:hyperlink>
      <w:r>
        <w:t xml:space="preserve"> . Ved at vælge: </w:t>
      </w:r>
      <w:r w:rsidRPr="006554AE">
        <w:rPr>
          <w:color w:val="0070C0"/>
        </w:rPr>
        <w:t xml:space="preserve">Danske tekster kronologisk 1540-1544 </w:t>
      </w:r>
      <w:r>
        <w:t xml:space="preserve">finder man </w:t>
      </w:r>
      <w:r w:rsidRPr="006554AE">
        <w:rPr>
          <w:color w:val="0070C0"/>
        </w:rPr>
        <w:t>Martin Luthers ”Fuldstændige Kirkepostil” fra 1544</w:t>
      </w:r>
      <w:r>
        <w:t>.</w:t>
      </w:r>
    </w:p>
    <w:p w:rsidR="00FC1BE5" w:rsidRDefault="00FC1BE5" w:rsidP="00FC1BE5">
      <w:r>
        <w:t xml:space="preserve">Prædikener er listet op efter bibelstederne. Luthers prædiken over Joh 16, 16- 22 findes her i en dansk oversættelse. </w:t>
      </w:r>
    </w:p>
    <w:p w:rsidR="00FC1BE5" w:rsidRDefault="00FC1BE5" w:rsidP="00FC1BE5">
      <w:r>
        <w:t>Man kan bede deltagerne om, at læse denne prædiken i forvejen.  Alternativ kunne man evt. mødes i kirken. Her kunne Luthers prædiken foredrages som en læseprædiken –</w:t>
      </w:r>
      <w:r w:rsidR="004B11DF">
        <w:t xml:space="preserve"> </w:t>
      </w:r>
      <w:r>
        <w:t>evt. i en aftengudstjene</w:t>
      </w:r>
      <w:r w:rsidR="004B11DF">
        <w:t>ste eller</w:t>
      </w:r>
      <w:r>
        <w:t xml:space="preserve"> andagt før selve studiekredsmødet. </w:t>
      </w:r>
    </w:p>
    <w:p w:rsidR="00FC1BE5" w:rsidRDefault="00FC1BE5" w:rsidP="00FC1BE5"/>
    <w:p w:rsidR="004B7504" w:rsidRPr="004B7504" w:rsidRDefault="004B7504" w:rsidP="004B7504">
      <w:pPr>
        <w:rPr>
          <w:b/>
          <w:bCs/>
        </w:rPr>
      </w:pPr>
      <w:r w:rsidRPr="004B7504">
        <w:rPr>
          <w:b/>
          <w:bCs/>
        </w:rPr>
        <w:t>3. 3)</w:t>
      </w:r>
      <w:r>
        <w:t xml:space="preserve"> </w:t>
      </w:r>
      <w:r>
        <w:tab/>
      </w:r>
      <w:r w:rsidRPr="004B7504">
        <w:rPr>
          <w:b/>
          <w:bCs/>
        </w:rPr>
        <w:t xml:space="preserve">Forslag til en drøftelse af nåden / nådens eskatologiske implikationer </w:t>
      </w:r>
    </w:p>
    <w:p w:rsidR="004B7504" w:rsidRDefault="004B7504" w:rsidP="004C650A">
      <w:pPr>
        <w:spacing w:after="0"/>
      </w:pPr>
      <w:r>
        <w:t>I det kommende liv vil der begynde en sand, hjertelig glæde, og den skal være fuldkommen, uden mangel og uden ende. Denne forvisning formulerer Luther i ét af de sidste afsnit i hans prædiken over Joh 16, 16-22. Den nådige Gud sætter vores liv i et perspektiv, der har evigheden som horisont. Vores bedrøvelser skal kun vare en kort tid. Og når vi gør os denne dimension bevidst: en kort tid, da er bedrøvelsen allerede mildnet og der er strøet sukker på. Som Luther kan sige det. Og vi skal ikke alene høre dette ord, men vi må bringe det ind i hjertet. Guds nåde er ifølge Luther uløseligt knyttet sammen med syndernes forladelse.</w:t>
      </w:r>
    </w:p>
    <w:p w:rsidR="004F4530" w:rsidRDefault="004C650A" w:rsidP="004F4530">
      <w:pPr>
        <w:spacing w:after="0"/>
      </w:pPr>
      <w:r>
        <w:t xml:space="preserve">Og Guds tilsagn om syndernes forladelse er en forandrende kraft. Således skriver Luther i slutningen af sin prædiken over Joh. 16, 16-22, at der ”skal ske en forandring fra død til liv, når Kristus atter opstår og lever i mig, og jeg bliver levende i ham. Da skal det hedde: ”Jeg skal se jer igen, og da skal jeres hjerte glæde sig, og ingen skal tage </w:t>
      </w:r>
      <w:r w:rsidR="004B11DF">
        <w:t>jeres glæde fra jer. (v. 22). ”</w:t>
      </w:r>
      <w:r>
        <w:t xml:space="preserve">Som den store sjælesørger, som Luther også var, fastholder </w:t>
      </w:r>
      <w:r>
        <w:lastRenderedPageBreak/>
        <w:t xml:space="preserve">han, at vi må erfare noget af det, enten i livet eller i dødstunden. At tage imod Guds nåde tolkes hermed i sidste konsekvens som det, at vi kan tro på Kristi og vores egen opstandelse. </w:t>
      </w:r>
      <w:r w:rsidR="004F4530">
        <w:t xml:space="preserve">I Guds tilsagn om hans nåde kan vi grundfæste et håb, som vi kan bygge hele vores liv på. </w:t>
      </w:r>
    </w:p>
    <w:p w:rsidR="004C650A" w:rsidRDefault="004C650A" w:rsidP="004B7504">
      <w:pPr>
        <w:spacing w:after="0"/>
      </w:pPr>
    </w:p>
    <w:p w:rsidR="004F4530" w:rsidRDefault="004C650A" w:rsidP="004F4530">
      <w:pPr>
        <w:spacing w:after="0"/>
      </w:pPr>
      <w:r>
        <w:t xml:space="preserve">For at drøfte denne dimension af Luthers opfattelse af nåden foreslår vi, at deltagerne kunne sammenligne Luthers prædiken </w:t>
      </w:r>
      <w:r w:rsidR="004F4530">
        <w:t xml:space="preserve">over Joh 16, 16-22 </w:t>
      </w:r>
      <w:r>
        <w:t xml:space="preserve">med nogle </w:t>
      </w:r>
      <w:r w:rsidR="004F4530">
        <w:t>nutidige prædikener over den samme tekst.</w:t>
      </w:r>
    </w:p>
    <w:p w:rsidR="004F4530" w:rsidRDefault="004F4530" w:rsidP="004F4530">
      <w:pPr>
        <w:spacing w:after="0"/>
      </w:pPr>
      <w:r>
        <w:t>Det står selvfølgelig enhver frit, hvilke prædikener man vil inddrage til en sammenlignende drøftelse.</w:t>
      </w:r>
    </w:p>
    <w:p w:rsidR="0004652F" w:rsidRDefault="004F4530" w:rsidP="004F4530">
      <w:pPr>
        <w:spacing w:after="0"/>
      </w:pPr>
      <w:r>
        <w:t>Vi har fundet et udvalg af prædikener på nettet, som efter vores mening er velegnede til en diskussion</w:t>
      </w:r>
      <w:r w:rsidR="0004652F">
        <w:t>.</w:t>
      </w:r>
    </w:p>
    <w:p w:rsidR="004F4530" w:rsidRDefault="0004652F" w:rsidP="0004652F">
      <w:pPr>
        <w:spacing w:after="0"/>
      </w:pPr>
      <w:r>
        <w:t>Med udgangspunkt i disse prædikener kunne delt</w:t>
      </w:r>
      <w:r w:rsidR="004B11DF">
        <w:t xml:space="preserve">agerne (evt. opdelt i grupper) </w:t>
      </w:r>
      <w:r>
        <w:t xml:space="preserve">diskutere </w:t>
      </w:r>
      <w:r w:rsidR="004F4530">
        <w:t xml:space="preserve">vores nutidige opfattelse af nåden samt af nådens betydning for vores håb om fremtiden, det evige liv eller endda en evig glæde. </w:t>
      </w:r>
    </w:p>
    <w:p w:rsidR="004F4530" w:rsidRDefault="004F4530" w:rsidP="004F4530">
      <w:pPr>
        <w:spacing w:after="0"/>
      </w:pPr>
      <w:r>
        <w:t xml:space="preserve"> </w:t>
      </w:r>
    </w:p>
    <w:p w:rsidR="004F4530" w:rsidRDefault="004F4530" w:rsidP="004F4530">
      <w:pPr>
        <w:spacing w:after="0"/>
      </w:pPr>
      <w:r>
        <w:t>Forslag:</w:t>
      </w:r>
    </w:p>
    <w:p w:rsidR="008A38D1" w:rsidRDefault="004F4530" w:rsidP="008A38D1">
      <w:pPr>
        <w:spacing w:after="0"/>
      </w:pPr>
      <w:r>
        <w:t>prædiken</w:t>
      </w:r>
      <w:r w:rsidR="008A38D1">
        <w:t>er</w:t>
      </w:r>
      <w:r>
        <w:t xml:space="preserve"> over Joh. 16, 16-22 </w:t>
      </w:r>
    </w:p>
    <w:p w:rsidR="008A38D1" w:rsidRDefault="004F4530" w:rsidP="008A38D1">
      <w:pPr>
        <w:spacing w:after="0"/>
      </w:pPr>
      <w:r>
        <w:t xml:space="preserve">tilgængelig på:  </w:t>
      </w:r>
      <w:hyperlink r:id="rId16" w:history="1">
        <w:r w:rsidR="0004652F" w:rsidRPr="00BC40DD">
          <w:rPr>
            <w:rStyle w:val="Hyperlink"/>
          </w:rPr>
          <w:t>www.goettinger-predigten.de</w:t>
        </w:r>
      </w:hyperlink>
      <w:r w:rsidR="008A38D1">
        <w:t xml:space="preserve"> / archiv/Neues Testament Johannes/Johannes16:16-22</w:t>
      </w:r>
    </w:p>
    <w:p w:rsidR="008A38D1" w:rsidRDefault="008A38D1" w:rsidP="008A38D1">
      <w:pPr>
        <w:spacing w:after="0"/>
      </w:pPr>
    </w:p>
    <w:p w:rsidR="008A38D1" w:rsidRDefault="008A38D1" w:rsidP="008A38D1">
      <w:pPr>
        <w:spacing w:after="0"/>
      </w:pPr>
      <w:r>
        <w:t>Her finder man blandt andet følgende prædikener over teksten på dansk:</w:t>
      </w:r>
    </w:p>
    <w:p w:rsidR="008A38D1" w:rsidRDefault="008A38D1" w:rsidP="008A38D1">
      <w:pPr>
        <w:spacing w:after="0"/>
      </w:pPr>
      <w:r>
        <w:t>af Peter Nejsum (03.05.2009)</w:t>
      </w:r>
    </w:p>
    <w:p w:rsidR="008A38D1" w:rsidRDefault="008A38D1" w:rsidP="008A38D1">
      <w:pPr>
        <w:spacing w:after="0"/>
      </w:pPr>
      <w:r>
        <w:t>af Anders Kjærsig (15.05.2011)</w:t>
      </w:r>
    </w:p>
    <w:p w:rsidR="004B7504" w:rsidRDefault="008A38D1" w:rsidP="008A38D1">
      <w:pPr>
        <w:spacing w:after="0"/>
      </w:pPr>
      <w:r>
        <w:t xml:space="preserve">af Niels Henrik Arendt (26. 04. 2015)    </w:t>
      </w:r>
      <w:r w:rsidR="0004652F">
        <w:t xml:space="preserve"> </w:t>
      </w:r>
      <w:r w:rsidR="004F4530">
        <w:t xml:space="preserve">  </w:t>
      </w:r>
    </w:p>
    <w:p w:rsidR="008A38D1" w:rsidRDefault="008A38D1" w:rsidP="004B7504">
      <w:pPr>
        <w:spacing w:after="0"/>
      </w:pPr>
    </w:p>
    <w:p w:rsidR="008A38D1" w:rsidRDefault="008A38D1" w:rsidP="008A38D1">
      <w:pPr>
        <w:spacing w:after="0"/>
      </w:pPr>
      <w:r>
        <w:t>Angående en drøftelse af forholdet mellem nåde og glæde kan f.eks. følgende prædiken inddrages:</w:t>
      </w:r>
    </w:p>
    <w:p w:rsidR="00757899" w:rsidRDefault="00757899" w:rsidP="00757899">
      <w:pPr>
        <w:spacing w:after="0"/>
      </w:pPr>
      <w:r>
        <w:t>Niels Bjørn Christensen Dalsgaard: Prædiken i Studentermenigheden i København, Trinitatis Kirke, den 19. 04. 2013 over Joh. 16,16-22: En umistelig glæde.</w:t>
      </w:r>
    </w:p>
    <w:p w:rsidR="004B7504" w:rsidRDefault="00757899" w:rsidP="00757899">
      <w:pPr>
        <w:spacing w:after="0"/>
      </w:pPr>
      <w:r>
        <w:t>(http://scriptoriumtheologiae.dk/2013/04/22/en-umistelig-glaede/</w:t>
      </w:r>
      <w:r w:rsidR="008A38D1">
        <w:t xml:space="preserve"> </w:t>
      </w:r>
      <w:r>
        <w:t>)</w:t>
      </w:r>
    </w:p>
    <w:p w:rsidR="00FC1BE5" w:rsidRDefault="00FC1BE5" w:rsidP="00FC1BE5"/>
    <w:sectPr w:rsidR="00FC1BE5">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FD" w:rsidRDefault="00BF53FD" w:rsidP="005845C6">
      <w:pPr>
        <w:spacing w:after="0" w:line="240" w:lineRule="auto"/>
      </w:pPr>
      <w:r>
        <w:separator/>
      </w:r>
    </w:p>
  </w:endnote>
  <w:endnote w:type="continuationSeparator" w:id="0">
    <w:p w:rsidR="00BF53FD" w:rsidRDefault="00BF53FD" w:rsidP="0058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374024"/>
      <w:docPartObj>
        <w:docPartGallery w:val="Page Numbers (Bottom of Page)"/>
        <w:docPartUnique/>
      </w:docPartObj>
    </w:sdtPr>
    <w:sdtEndPr/>
    <w:sdtContent>
      <w:p w:rsidR="008577E4" w:rsidRDefault="008577E4">
        <w:pPr>
          <w:pStyle w:val="Sidefod"/>
          <w:jc w:val="right"/>
        </w:pPr>
        <w:r>
          <w:fldChar w:fldCharType="begin"/>
        </w:r>
        <w:r>
          <w:instrText>PAGE   \* MERGEFORMAT</w:instrText>
        </w:r>
        <w:r>
          <w:fldChar w:fldCharType="separate"/>
        </w:r>
        <w:r w:rsidR="00D11C47">
          <w:rPr>
            <w:noProof/>
          </w:rPr>
          <w:t>1</w:t>
        </w:r>
        <w:r>
          <w:fldChar w:fldCharType="end"/>
        </w:r>
      </w:p>
    </w:sdtContent>
  </w:sdt>
  <w:p w:rsidR="008577E4" w:rsidRDefault="008577E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FD" w:rsidRDefault="00BF53FD" w:rsidP="005845C6">
      <w:pPr>
        <w:spacing w:after="0" w:line="240" w:lineRule="auto"/>
      </w:pPr>
      <w:r>
        <w:separator/>
      </w:r>
    </w:p>
  </w:footnote>
  <w:footnote w:type="continuationSeparator" w:id="0">
    <w:p w:rsidR="00BF53FD" w:rsidRDefault="00BF53FD" w:rsidP="00584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A1" w:rsidRPr="002B361A" w:rsidRDefault="00D07BA1" w:rsidP="00B7166A">
    <w:pPr>
      <w:spacing w:after="0"/>
      <w:jc w:val="center"/>
      <w:rPr>
        <w:b/>
        <w:bCs/>
        <w:sz w:val="24"/>
        <w:szCs w:val="24"/>
      </w:rPr>
    </w:pPr>
    <w:r w:rsidRPr="002B361A">
      <w:rPr>
        <w:b/>
        <w:bCs/>
        <w:sz w:val="24"/>
        <w:szCs w:val="24"/>
      </w:rPr>
      <w:t>STUDIEKREDSMATERIALE 201</w:t>
    </w:r>
    <w:r>
      <w:rPr>
        <w:b/>
        <w:bCs/>
        <w:sz w:val="24"/>
        <w:szCs w:val="24"/>
      </w:rPr>
      <w:t>7</w:t>
    </w:r>
  </w:p>
  <w:p w:rsidR="00D07BA1" w:rsidRPr="002B361A" w:rsidRDefault="00D07BA1" w:rsidP="00B7166A">
    <w:pPr>
      <w:spacing w:after="0"/>
      <w:jc w:val="center"/>
      <w:rPr>
        <w:b/>
        <w:bCs/>
        <w:sz w:val="24"/>
        <w:szCs w:val="24"/>
      </w:rPr>
    </w:pPr>
    <w:r w:rsidRPr="002B361A">
      <w:rPr>
        <w:b/>
        <w:bCs/>
        <w:sz w:val="24"/>
        <w:szCs w:val="24"/>
      </w:rPr>
      <w:t xml:space="preserve">”Sola </w:t>
    </w:r>
    <w:r>
      <w:rPr>
        <w:b/>
        <w:bCs/>
        <w:sz w:val="24"/>
        <w:szCs w:val="24"/>
      </w:rPr>
      <w:t>Gratia</w:t>
    </w:r>
    <w:r w:rsidRPr="002B361A">
      <w:rPr>
        <w:b/>
        <w:bCs/>
        <w:sz w:val="24"/>
        <w:szCs w:val="24"/>
      </w:rPr>
      <w:t xml:space="preserve">” – ”Ved </w:t>
    </w:r>
    <w:r>
      <w:rPr>
        <w:b/>
        <w:bCs/>
        <w:sz w:val="24"/>
        <w:szCs w:val="24"/>
      </w:rPr>
      <w:t>nåden</w:t>
    </w:r>
    <w:r w:rsidRPr="002B361A">
      <w:rPr>
        <w:b/>
        <w:bCs/>
        <w:sz w:val="24"/>
        <w:szCs w:val="24"/>
      </w:rPr>
      <w:t xml:space="preserve"> alene”</w:t>
    </w:r>
  </w:p>
  <w:p w:rsidR="00D07BA1" w:rsidRDefault="00D07BA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71AA"/>
    <w:multiLevelType w:val="hybridMultilevel"/>
    <w:tmpl w:val="AF5E3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BE77C29"/>
    <w:multiLevelType w:val="hybridMultilevel"/>
    <w:tmpl w:val="7668E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5CD0480"/>
    <w:multiLevelType w:val="hybridMultilevel"/>
    <w:tmpl w:val="BF325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9F"/>
    <w:rsid w:val="00035A12"/>
    <w:rsid w:val="00044066"/>
    <w:rsid w:val="0004652F"/>
    <w:rsid w:val="0008608F"/>
    <w:rsid w:val="0009757A"/>
    <w:rsid w:val="000C071F"/>
    <w:rsid w:val="000C358D"/>
    <w:rsid w:val="000C607D"/>
    <w:rsid w:val="000E1D9B"/>
    <w:rsid w:val="00114669"/>
    <w:rsid w:val="00147D21"/>
    <w:rsid w:val="00192681"/>
    <w:rsid w:val="001A0ADB"/>
    <w:rsid w:val="001A18BB"/>
    <w:rsid w:val="001D79BE"/>
    <w:rsid w:val="001E10EF"/>
    <w:rsid w:val="001E1BE7"/>
    <w:rsid w:val="001F2F64"/>
    <w:rsid w:val="002169E4"/>
    <w:rsid w:val="00256791"/>
    <w:rsid w:val="002661E2"/>
    <w:rsid w:val="00291EE7"/>
    <w:rsid w:val="002B047D"/>
    <w:rsid w:val="002B361A"/>
    <w:rsid w:val="002C6390"/>
    <w:rsid w:val="003118B2"/>
    <w:rsid w:val="00331A33"/>
    <w:rsid w:val="003A3A34"/>
    <w:rsid w:val="003C6C56"/>
    <w:rsid w:val="00400ADD"/>
    <w:rsid w:val="00440B17"/>
    <w:rsid w:val="004562DB"/>
    <w:rsid w:val="00475B9F"/>
    <w:rsid w:val="00497C84"/>
    <w:rsid w:val="004B11DF"/>
    <w:rsid w:val="004B7504"/>
    <w:rsid w:val="004C650A"/>
    <w:rsid w:val="004F4530"/>
    <w:rsid w:val="004F7E75"/>
    <w:rsid w:val="00525D91"/>
    <w:rsid w:val="00530C73"/>
    <w:rsid w:val="005845C6"/>
    <w:rsid w:val="005A584E"/>
    <w:rsid w:val="005D1FA0"/>
    <w:rsid w:val="005D3019"/>
    <w:rsid w:val="005E39C4"/>
    <w:rsid w:val="00605488"/>
    <w:rsid w:val="006067EE"/>
    <w:rsid w:val="006252EC"/>
    <w:rsid w:val="006554AE"/>
    <w:rsid w:val="006A7EC6"/>
    <w:rsid w:val="006D7A9F"/>
    <w:rsid w:val="00735D1F"/>
    <w:rsid w:val="00757899"/>
    <w:rsid w:val="00772AE2"/>
    <w:rsid w:val="007A073A"/>
    <w:rsid w:val="007B7190"/>
    <w:rsid w:val="007D7725"/>
    <w:rsid w:val="00801B2B"/>
    <w:rsid w:val="008349AE"/>
    <w:rsid w:val="008577E4"/>
    <w:rsid w:val="008715E4"/>
    <w:rsid w:val="008816E8"/>
    <w:rsid w:val="008961CF"/>
    <w:rsid w:val="008A38D1"/>
    <w:rsid w:val="008D182D"/>
    <w:rsid w:val="00915ED1"/>
    <w:rsid w:val="00960E99"/>
    <w:rsid w:val="00983795"/>
    <w:rsid w:val="009A671B"/>
    <w:rsid w:val="00A558D0"/>
    <w:rsid w:val="00A974BA"/>
    <w:rsid w:val="00AA299E"/>
    <w:rsid w:val="00AC0C3E"/>
    <w:rsid w:val="00AD6F8C"/>
    <w:rsid w:val="00AE4F2A"/>
    <w:rsid w:val="00AF4045"/>
    <w:rsid w:val="00B01B53"/>
    <w:rsid w:val="00B15DC4"/>
    <w:rsid w:val="00B26B39"/>
    <w:rsid w:val="00B36DD6"/>
    <w:rsid w:val="00B6349F"/>
    <w:rsid w:val="00B7166A"/>
    <w:rsid w:val="00BB237B"/>
    <w:rsid w:val="00BB49AF"/>
    <w:rsid w:val="00BF53FD"/>
    <w:rsid w:val="00C125A9"/>
    <w:rsid w:val="00C25555"/>
    <w:rsid w:val="00C4206F"/>
    <w:rsid w:val="00C638F3"/>
    <w:rsid w:val="00C86E98"/>
    <w:rsid w:val="00C9200D"/>
    <w:rsid w:val="00C946A3"/>
    <w:rsid w:val="00CA506B"/>
    <w:rsid w:val="00D07BA1"/>
    <w:rsid w:val="00D11C47"/>
    <w:rsid w:val="00D13E00"/>
    <w:rsid w:val="00D21D82"/>
    <w:rsid w:val="00D75464"/>
    <w:rsid w:val="00D83C5C"/>
    <w:rsid w:val="00DF1E17"/>
    <w:rsid w:val="00E45491"/>
    <w:rsid w:val="00E57D06"/>
    <w:rsid w:val="00E808AC"/>
    <w:rsid w:val="00E82AE7"/>
    <w:rsid w:val="00EC6547"/>
    <w:rsid w:val="00ED2E41"/>
    <w:rsid w:val="00F52A01"/>
    <w:rsid w:val="00F56260"/>
    <w:rsid w:val="00F7320A"/>
    <w:rsid w:val="00F7729A"/>
    <w:rsid w:val="00F876B6"/>
    <w:rsid w:val="00F912A4"/>
    <w:rsid w:val="00FC1BE5"/>
    <w:rsid w:val="00FE5E0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EEF37-4813-437D-BCFA-E809FB07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F2F6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2F64"/>
    <w:rPr>
      <w:rFonts w:ascii="Segoe UI" w:hAnsi="Segoe UI" w:cs="Segoe UI"/>
      <w:sz w:val="18"/>
      <w:szCs w:val="18"/>
    </w:rPr>
  </w:style>
  <w:style w:type="paragraph" w:styleId="Sidehoved">
    <w:name w:val="header"/>
    <w:basedOn w:val="Normal"/>
    <w:link w:val="SidehovedTegn"/>
    <w:uiPriority w:val="99"/>
    <w:unhideWhenUsed/>
    <w:rsid w:val="005845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45C6"/>
  </w:style>
  <w:style w:type="paragraph" w:styleId="Sidefod">
    <w:name w:val="footer"/>
    <w:basedOn w:val="Normal"/>
    <w:link w:val="SidefodTegn"/>
    <w:uiPriority w:val="99"/>
    <w:unhideWhenUsed/>
    <w:rsid w:val="005845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45C6"/>
  </w:style>
  <w:style w:type="character" w:styleId="Hyperlink">
    <w:name w:val="Hyperlink"/>
    <w:basedOn w:val="Standardskrifttypeiafsnit"/>
    <w:uiPriority w:val="99"/>
    <w:unhideWhenUsed/>
    <w:rsid w:val="00C25555"/>
    <w:rPr>
      <w:color w:val="0563C1" w:themeColor="hyperlink"/>
      <w:u w:val="single"/>
    </w:rPr>
  </w:style>
  <w:style w:type="paragraph" w:styleId="Slutnotetekst">
    <w:name w:val="endnote text"/>
    <w:basedOn w:val="Normal"/>
    <w:link w:val="SlutnotetekstTegn"/>
    <w:uiPriority w:val="99"/>
    <w:semiHidden/>
    <w:unhideWhenUsed/>
    <w:rsid w:val="00C25555"/>
    <w:pPr>
      <w:spacing w:after="0" w:line="240" w:lineRule="auto"/>
    </w:pPr>
    <w:rPr>
      <w:rFonts w:ascii="Calibri" w:eastAsia="Times New Roman" w:hAnsi="Calibri" w:cs="Arial"/>
      <w:sz w:val="20"/>
      <w:szCs w:val="20"/>
      <w:lang w:bidi="ar-SA"/>
    </w:rPr>
  </w:style>
  <w:style w:type="character" w:customStyle="1" w:styleId="SlutnotetekstTegn">
    <w:name w:val="Slutnotetekst Tegn"/>
    <w:basedOn w:val="Standardskrifttypeiafsnit"/>
    <w:link w:val="Slutnotetekst"/>
    <w:uiPriority w:val="99"/>
    <w:semiHidden/>
    <w:rsid w:val="00C25555"/>
    <w:rPr>
      <w:rFonts w:ascii="Calibri" w:eastAsia="Times New Roman" w:hAnsi="Calibri" w:cs="Arial"/>
      <w:sz w:val="20"/>
      <w:szCs w:val="20"/>
      <w:lang w:bidi="ar-SA"/>
    </w:rPr>
  </w:style>
  <w:style w:type="paragraph" w:styleId="Listeafsnit">
    <w:name w:val="List Paragraph"/>
    <w:basedOn w:val="Normal"/>
    <w:uiPriority w:val="34"/>
    <w:qFormat/>
    <w:rsid w:val="0073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6774">
      <w:bodyDiv w:val="1"/>
      <w:marLeft w:val="0"/>
      <w:marRight w:val="0"/>
      <w:marTop w:val="0"/>
      <w:marBottom w:val="0"/>
      <w:divBdr>
        <w:top w:val="none" w:sz="0" w:space="0" w:color="auto"/>
        <w:left w:val="none" w:sz="0" w:space="0" w:color="auto"/>
        <w:bottom w:val="none" w:sz="0" w:space="0" w:color="auto"/>
        <w:right w:val="none" w:sz="0" w:space="0" w:color="auto"/>
      </w:divBdr>
    </w:div>
    <w:div w:id="640622596">
      <w:bodyDiv w:val="1"/>
      <w:marLeft w:val="0"/>
      <w:marRight w:val="0"/>
      <w:marTop w:val="0"/>
      <w:marBottom w:val="0"/>
      <w:divBdr>
        <w:top w:val="none" w:sz="0" w:space="0" w:color="auto"/>
        <w:left w:val="none" w:sz="0" w:space="0" w:color="auto"/>
        <w:bottom w:val="none" w:sz="0" w:space="0" w:color="auto"/>
        <w:right w:val="none" w:sz="0" w:space="0" w:color="auto"/>
      </w:divBdr>
    </w:div>
    <w:div w:id="1210848980">
      <w:bodyDiv w:val="1"/>
      <w:marLeft w:val="0"/>
      <w:marRight w:val="0"/>
      <w:marTop w:val="0"/>
      <w:marBottom w:val="0"/>
      <w:divBdr>
        <w:top w:val="none" w:sz="0" w:space="0" w:color="auto"/>
        <w:left w:val="none" w:sz="0" w:space="0" w:color="auto"/>
        <w:bottom w:val="none" w:sz="0" w:space="0" w:color="auto"/>
        <w:right w:val="none" w:sz="0" w:space="0" w:color="auto"/>
      </w:divBdr>
    </w:div>
    <w:div w:id="1563246656">
      <w:bodyDiv w:val="1"/>
      <w:marLeft w:val="0"/>
      <w:marRight w:val="0"/>
      <w:marTop w:val="0"/>
      <w:marBottom w:val="0"/>
      <w:divBdr>
        <w:top w:val="none" w:sz="0" w:space="0" w:color="auto"/>
        <w:left w:val="none" w:sz="0" w:space="0" w:color="auto"/>
        <w:bottom w:val="none" w:sz="0" w:space="0" w:color="auto"/>
        <w:right w:val="none" w:sz="0" w:space="0" w:color="auto"/>
      </w:divBdr>
    </w:div>
    <w:div w:id="21352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tekster" TargetMode="External"/><Relationship Id="rId13" Type="http://schemas.openxmlformats.org/officeDocument/2006/relationships/hyperlink" Target="http://www.lutherdansk.d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elselskabet.dk/spoerg_om_bibelen/naade" TargetMode="External"/><Relationship Id="rId12" Type="http://schemas.openxmlformats.org/officeDocument/2006/relationships/hyperlink" Target="http://www.luthertekst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ettinger-predigte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thertekster" TargetMode="External"/><Relationship Id="rId5" Type="http://schemas.openxmlformats.org/officeDocument/2006/relationships/footnotes" Target="footnotes.xml"/><Relationship Id="rId15" Type="http://schemas.openxmlformats.org/officeDocument/2006/relationships/hyperlink" Target="http://www.lutherdansk.dk" TargetMode="External"/><Relationship Id="rId10" Type="http://schemas.openxmlformats.org/officeDocument/2006/relationships/hyperlink" Target="http://www.bibelskeslabet.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elskeslabet.dk" TargetMode="External"/><Relationship Id="rId14" Type="http://schemas.openxmlformats.org/officeDocument/2006/relationships/hyperlink" Target="http://www.lutherdansk.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19270</Characters>
  <Application>Microsoft Office Word</Application>
  <DocSecurity>4</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Dorothea Glöckner</dc:creator>
  <cp:keywords/>
  <dc:description/>
  <cp:lastModifiedBy>Margarete Dorothea Glöckner</cp:lastModifiedBy>
  <cp:revision>2</cp:revision>
  <cp:lastPrinted>2016-05-17T11:40:00Z</cp:lastPrinted>
  <dcterms:created xsi:type="dcterms:W3CDTF">2017-01-14T19:35:00Z</dcterms:created>
  <dcterms:modified xsi:type="dcterms:W3CDTF">2017-01-14T19:35:00Z</dcterms:modified>
</cp:coreProperties>
</file>